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A7" w:rsidRPr="003920E7" w:rsidRDefault="004269A7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bg-BG"/>
        </w:rPr>
      </w:pPr>
      <w:bookmarkStart w:id="0" w:name="_GoBack"/>
      <w:bookmarkEnd w:id="0"/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ИНСТРУКЦИИ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bg-BG"/>
        </w:rPr>
        <w:t xml:space="preserve"> 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ЗА ПОПЪЛВАНЕ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bg-BG"/>
        </w:rPr>
        <w:t xml:space="preserve"> 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НА ГОДИШНИТЕ ОТЧЕТНИ СПРАВКИ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bg-BG"/>
        </w:rPr>
        <w:t xml:space="preserve"> </w:t>
      </w:r>
      <w:r w:rsidRPr="003920E7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НА ВиК ОПЕРАТОРИТЕ</w:t>
      </w:r>
    </w:p>
    <w:p w:rsidR="004269A7" w:rsidRPr="003920E7" w:rsidRDefault="004269A7" w:rsidP="003C350E">
      <w:pPr>
        <w:widowControl w:val="0"/>
        <w:autoSpaceDE w:val="0"/>
        <w:autoSpaceDN w:val="0"/>
        <w:adjustRightInd w:val="0"/>
        <w:spacing w:after="0" w:line="240" w:lineRule="auto"/>
        <w:ind w:left="720"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3920E7" w:rsidRPr="00B4292E" w:rsidRDefault="003920E7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Настоящият документ съдържа инструкции за </w:t>
      </w:r>
      <w:r w:rsidR="008E083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попълване на годишните отчетни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справки, както следва: </w:t>
      </w:r>
    </w:p>
    <w:p w:rsidR="004132EA" w:rsidRPr="00B4292E" w:rsidRDefault="004132EA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F706F" w:rsidRPr="00B4292E" w:rsidRDefault="00FF706F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 данни за ВиК оператора</w:t>
      </w:r>
    </w:p>
    <w:p w:rsidR="00FF706F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F706F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Обща информация</w:t>
      </w:r>
    </w:p>
    <w:p w:rsidR="00FF706F" w:rsidRPr="002844E7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1.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F706F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общите характеристики на регистри и бази данни по смисъла на т. 83 и 84 от Указания НРКВКУ</w:t>
      </w:r>
    </w:p>
    <w:p w:rsidR="00F526B2" w:rsidRPr="00F526B2" w:rsidRDefault="00F526B2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Справка № 1.2.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F526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за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специфичните</w:t>
      </w:r>
      <w:r w:rsidRPr="00F526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характеристики на регистри и бази данни по смисъла на т. 83 и 84 от Указания НРКВКУ</w:t>
      </w:r>
    </w:p>
    <w:p w:rsidR="004132EA" w:rsidRPr="00B4292E" w:rsidRDefault="004132EA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85285" w:rsidRPr="00B4292E" w:rsidRDefault="00142AB5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Техническа част</w:t>
      </w:r>
    </w:p>
    <w:p w:rsidR="00855462" w:rsidRPr="00B4292E" w:rsidRDefault="00831B6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2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Променливи за изчисление на показателите за качество на предоставяните ВиК услуги </w:t>
      </w:r>
    </w:p>
    <w:p w:rsidR="00831B69" w:rsidRPr="00B4292E" w:rsidRDefault="00831B6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3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Показатели за качество на предоставяните В и К услуги </w:t>
      </w:r>
    </w:p>
    <w:p w:rsidR="00831B69" w:rsidRPr="00B4292E" w:rsidRDefault="00831B6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4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за достигнато ниво на потребление </w:t>
      </w:r>
    </w:p>
    <w:p w:rsidR="00831B69" w:rsidRPr="00B4292E" w:rsidRDefault="00831B69" w:rsidP="003C350E">
      <w:pPr>
        <w:widowControl w:val="0"/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Справка № 4.1</w:t>
      </w:r>
      <w:r w:rsidRPr="00B4292E">
        <w:t xml:space="preserve"> </w:t>
      </w:r>
      <w:r w:rsidR="00B867CB" w:rsidRPr="00B4292E">
        <w:tab/>
      </w:r>
      <w:r w:rsidRPr="00B4292E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Отчет за достигнато ниво на потребление </w:t>
      </w:r>
      <w:r w:rsidR="00E110A0" w:rsidRPr="00B4292E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за други ВС</w:t>
      </w:r>
    </w:p>
    <w:p w:rsidR="00142AB5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B13BA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Подадени и фактурирани водни количества</w:t>
      </w:r>
    </w:p>
    <w:p w:rsidR="00B13BAB" w:rsidRPr="00B4292E" w:rsidRDefault="00B867C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6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</w:t>
      </w:r>
      <w:r w:rsidR="00B13BA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азрешени и добити водни количества и монтирани водомери на водоизточниците</w:t>
      </w:r>
    </w:p>
    <w:p w:rsidR="00B13BAB" w:rsidRPr="00B4292E" w:rsidRDefault="00B13BA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7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Разрешени и </w:t>
      </w:r>
      <w:proofErr w:type="spellStart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заустени</w:t>
      </w:r>
      <w:proofErr w:type="spellEnd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отпадъчни води</w:t>
      </w:r>
    </w:p>
    <w:p w:rsidR="00B13BAB" w:rsidRPr="00B4292E" w:rsidRDefault="00CD7BD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8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водомери на СВО, преминали </w:t>
      </w:r>
      <w:proofErr w:type="spellStart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последваща</w:t>
      </w:r>
      <w:proofErr w:type="spellEnd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проверка</w:t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/подменени</w:t>
      </w:r>
    </w:p>
    <w:p w:rsidR="00CD7BD7" w:rsidRPr="00B4292E" w:rsidRDefault="002072E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 № 8.1.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М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онтирани средства за измерване на пунктовете за отдаване вода на друг ВиК оператор</w:t>
      </w:r>
    </w:p>
    <w:p w:rsidR="00CD7BD7" w:rsidRPr="00B4292E" w:rsidRDefault="002072E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9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A222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потреблението на ел.енергия</w:t>
      </w:r>
    </w:p>
    <w:p w:rsidR="00CD7BD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10 </w:t>
      </w:r>
      <w:r w:rsidR="00EA222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072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</w:t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</w:t>
      </w:r>
      <w:r w:rsidR="002072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ремонтната програма</w:t>
      </w:r>
    </w:p>
    <w:p w:rsidR="002072E7" w:rsidRPr="00B4292E" w:rsidRDefault="002072E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10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.1 </w:t>
      </w:r>
      <w:r w:rsidR="00EA222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</w:t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</w:t>
      </w:r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 ремонтната програма</w:t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други ВС</w:t>
      </w:r>
    </w:p>
    <w:p w:rsidR="007A2BE1" w:rsidRPr="00B4292E" w:rsidRDefault="007A2BE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11</w:t>
      </w:r>
      <w:r w:rsidR="004132EA" w:rsidRPr="00B4292E">
        <w:t xml:space="preserve"> </w:t>
      </w:r>
      <w:r w:rsidR="00652C51" w:rsidRPr="00B4292E">
        <w:tab/>
      </w:r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Брой аварии във водоснабдителната и канализационната системи</w:t>
      </w:r>
      <w:r w:rsidR="0097721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7721D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12 </w:t>
      </w:r>
      <w:r w:rsidR="00652C5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и разчет на броя анализи на питейна вода</w:t>
      </w:r>
    </w:p>
    <w:p w:rsidR="0097721D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13 </w:t>
      </w:r>
      <w:r w:rsidR="00652C5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и разчет на броя проби на отпадъчни води, изискуеми съгласно разрешителните за </w:t>
      </w:r>
      <w:proofErr w:type="spellStart"/>
      <w:r w:rsidR="0097721D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заустване</w:t>
      </w:r>
      <w:proofErr w:type="spellEnd"/>
    </w:p>
    <w:p w:rsidR="002072E7" w:rsidRPr="00B4292E" w:rsidRDefault="0097721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14</w:t>
      </w:r>
      <w:r w:rsidR="004132EA" w:rsidRPr="00B4292E">
        <w:t xml:space="preserve"> </w:t>
      </w:r>
      <w:r w:rsidR="00652C51" w:rsidRPr="00B4292E"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Произведени и оползотворени утайки от ПСОВ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7721D" w:rsidRPr="00B4292E" w:rsidRDefault="0097721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14.1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52C5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Произведени </w:t>
      </w:r>
      <w:r w:rsidR="00F526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утайки от всяка ПСОВ през отчетната година, които са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оползотворени </w:t>
      </w:r>
      <w:r w:rsidR="00F526B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 депонирани през отчетната година</w:t>
      </w:r>
    </w:p>
    <w:p w:rsidR="0097721D" w:rsidRPr="00B4292E" w:rsidRDefault="0097721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EB161B" w:rsidRPr="00B4292E" w:rsidRDefault="00E8528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Икономическа част</w:t>
      </w:r>
    </w:p>
    <w:p w:rsidR="00EB161B" w:rsidRPr="00B4292E" w:rsidRDefault="00F12E10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15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B161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приходи и разходи</w:t>
      </w:r>
      <w:r w:rsidR="00EB16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FC2702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</w:t>
      </w:r>
      <w:r w:rsidR="00F12E1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вка № 16</w:t>
      </w:r>
      <w:r w:rsidR="00F12E1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B74D5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паричните потоци</w:t>
      </w:r>
    </w:p>
    <w:p w:rsidR="00A80C8B" w:rsidRPr="00B4292E" w:rsidRDefault="00F12E10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17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признатите годишни р</w:t>
      </w:r>
      <w:r w:rsidR="00176BA1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азходи</w:t>
      </w:r>
      <w:r w:rsidR="00A80C8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A80C8B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17.1.</w:t>
      </w:r>
      <w:r w:rsidR="00F12E1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110A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на годишните разходи </w:t>
      </w:r>
      <w:r w:rsidR="00A80C8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 регулирани услуги</w:t>
      </w:r>
      <w:r w:rsidR="00A80C8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17.</w:t>
      </w:r>
      <w:r w:rsidR="00E8528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B25521" w:rsidRPr="00B2552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Разпределение на преки разходи и разходи за административна и спомагателна дейност по услуги за дружеството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18 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и разчет на увеличението и </w:t>
      </w:r>
      <w:r w:rsidR="00E8528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намаление</w:t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то на признатите годишни разходи</w:t>
      </w:r>
    </w:p>
    <w:p w:rsidR="002C3051" w:rsidRPr="00B4292E" w:rsidRDefault="002C305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18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186A28" w:rsidRPr="00186A2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Допълнителни разходи, включени в коефициент </w:t>
      </w:r>
      <w:proofErr w:type="spellStart"/>
      <w:r w:rsidR="00186A28" w:rsidRPr="00186A2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Qр</w:t>
      </w:r>
      <w:proofErr w:type="spellEnd"/>
      <w:r w:rsidR="00186A28" w:rsidRPr="00186A2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извършването на нови дейности и/или експлоатация на нови активи</w:t>
      </w:r>
      <w:r w:rsidR="00186A28" w:rsidRPr="00186A2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p w:rsidR="00176BA1" w:rsidRPr="009D7BD3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19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и разчет на и</w:t>
      </w:r>
      <w:r w:rsidR="00176BA1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нвестиционна</w:t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та</w:t>
      </w:r>
      <w:r w:rsidR="00176BA1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програма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вка № 19.1.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и разчет на и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нвестиционна програма за</w:t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други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ВС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20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а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мортизацион</w:t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ния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план</w:t>
      </w:r>
      <w:r w:rsidR="002638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дълготрайните активи</w:t>
      </w:r>
    </w:p>
    <w:p w:rsidR="00263862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Справка № 20</w:t>
      </w:r>
      <w:r w:rsidR="000521F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 </w:t>
      </w:r>
      <w:r w:rsidR="0075207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0521F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доставяне на вода на потребителите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20.1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отвеждане на отпадъчни води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пречистване на отпадъчни води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20.1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.4.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доставяне на вода с непитейни качества</w:t>
      </w:r>
    </w:p>
    <w:p w:rsidR="00176BA1" w:rsidRPr="00B4292E" w:rsidRDefault="00176BA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2084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 активи за услугата доставяне на вода на друг ВиК оператор</w:t>
      </w:r>
    </w:p>
    <w:p w:rsidR="00176BA1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21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ре</w:t>
      </w:r>
      <w:r w:rsidR="00420841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гулаторна</w:t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та</w:t>
      </w:r>
      <w:r w:rsidR="00420841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база на активите</w:t>
      </w:r>
    </w:p>
    <w:p w:rsidR="00420841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22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н</w:t>
      </w:r>
      <w:r w:rsidR="00EB71D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орма</w:t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та</w:t>
      </w:r>
      <w:r w:rsidR="00A72E1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B71D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възвръщаемост</w:t>
      </w:r>
      <w:r w:rsidR="00A72E1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капитала</w:t>
      </w:r>
    </w:p>
    <w:p w:rsidR="00904938" w:rsidRPr="00B4292E" w:rsidRDefault="00904938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23 </w:t>
      </w:r>
      <w:r w:rsidR="001735D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п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ерсонал</w:t>
      </w:r>
      <w:r w:rsidR="001C0425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(за регулирана и нерегулирана дейност и по услуги)</w:t>
      </w:r>
    </w:p>
    <w:p w:rsidR="004C1477" w:rsidRPr="00B4292E" w:rsidRDefault="004C1477" w:rsidP="003C350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1477" w:rsidRPr="00B4292E" w:rsidRDefault="00E85285" w:rsidP="003C350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ЕСРО</w:t>
      </w:r>
    </w:p>
    <w:p w:rsidR="004C1477" w:rsidRPr="00B4292E" w:rsidRDefault="004C1477" w:rsidP="003C350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147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4C147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Баланс </w:t>
      </w:r>
    </w:p>
    <w:p w:rsidR="004C147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2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4C147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приходи и разходи (за регулирана и нерегулирана дейност)</w:t>
      </w:r>
    </w:p>
    <w:p w:rsidR="000D3607" w:rsidRPr="00B4292E" w:rsidRDefault="00185B1F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2.1.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D360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приходи и разходи за регулирани услуги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3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Такси за </w:t>
      </w:r>
      <w:proofErr w:type="spellStart"/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водовземане</w:t>
      </w:r>
      <w:proofErr w:type="spellEnd"/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за </w:t>
      </w:r>
      <w:proofErr w:type="spellStart"/>
      <w:r w:rsidR="00E2668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</w:t>
      </w:r>
      <w:r w:rsidR="00E2668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аустване</w:t>
      </w:r>
      <w:proofErr w:type="spellEnd"/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4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Фактурирани количества по ВиК услуги</w:t>
      </w:r>
    </w:p>
    <w:p w:rsidR="003920E7" w:rsidRPr="00B4292E" w:rsidRDefault="00A55E76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</w:t>
      </w:r>
      <w:r w:rsidR="004132E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№ 5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(за регулирана и нерегулирана дейност)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5.1.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доставяне на вода на потребителите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5.2.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отвеждане на отпадъчни води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5.3.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 за услугата пречистване на отпадъчни води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5.4.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 активи за услугата доставяне на вода с непитейни качества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5.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 активи за услугата доставяне на вода на друг ВиК оператор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6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Привлечен капитал</w:t>
      </w:r>
      <w:r w:rsidR="003920E7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7</w:t>
      </w:r>
      <w:r w:rsidR="00B867C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Разходи (за регулирана и нерегулирана дейност)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7.1.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Разходи за регулирани услуги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8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Приходи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8.1.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Приходи от регулирани услуги</w:t>
      </w:r>
    </w:p>
    <w:p w:rsidR="003920E7" w:rsidRPr="00B4292E" w:rsidRDefault="004132E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9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proofErr w:type="spellStart"/>
      <w:r w:rsidR="00E2668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Нов</w:t>
      </w:r>
      <w:r w:rsidR="00E2668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оприсъединени</w:t>
      </w:r>
      <w:proofErr w:type="spellEnd"/>
      <w:r w:rsidR="00E2668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3920E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потребители</w:t>
      </w:r>
    </w:p>
    <w:p w:rsidR="003920E7" w:rsidRPr="00B4292E" w:rsidRDefault="003920E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10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Персонал (за регулирана и нерегулирана дейност и по услуги)</w:t>
      </w:r>
    </w:p>
    <w:p w:rsidR="003920E7" w:rsidRPr="00B4292E" w:rsidRDefault="003920E7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11</w:t>
      </w:r>
      <w:r w:rsidR="00185B1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334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Коефициент на </w:t>
      </w:r>
      <w:proofErr w:type="spellStart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събираемост</w:t>
      </w:r>
      <w:proofErr w:type="spellEnd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вземанията</w:t>
      </w:r>
    </w:p>
    <w:p w:rsidR="003920E7" w:rsidRPr="00B4292E" w:rsidRDefault="003920E7" w:rsidP="003C350E">
      <w:pPr>
        <w:widowControl w:val="0"/>
        <w:tabs>
          <w:tab w:val="left" w:pos="87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E18CA" w:rsidRDefault="00BE18CA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700BD">
        <w:rPr>
          <w:rFonts w:ascii="Times New Roman" w:eastAsia="Times New Roman" w:hAnsi="Times New Roman" w:cs="Times New Roman"/>
          <w:sz w:val="24"/>
          <w:szCs w:val="24"/>
          <w:lang w:eastAsia="bg-BG"/>
        </w:rPr>
        <w:t>ВиК операторите представят в Комисията годишните отчетни справки на хартиен и магнитен носител в деловодството на КЕВР или по електронен път през Единен портал за предоставяне на информация и услуги от КЕВР. Формата на справките е задължителна, като не могат да се изтриват р</w:t>
      </w:r>
      <w:r w:rsidRPr="002748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едове и колони, </w:t>
      </w:r>
      <w:r w:rsidRPr="00171425">
        <w:rPr>
          <w:rFonts w:ascii="Times New Roman" w:eastAsia="Times New Roman" w:hAnsi="Times New Roman" w:cs="Times New Roman"/>
          <w:sz w:val="24"/>
          <w:szCs w:val="24"/>
          <w:lang w:eastAsia="bg-BG"/>
        </w:rPr>
        <w:t>но при необходимост могат да се добавят редове</w:t>
      </w:r>
      <w:r w:rsidRPr="002748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Всички справки трябва да бъдат подписани от лице с представителна власт и главен счетоводител, и да бъдат подпечатани с печата на дружеството, или да бъдат подписани с електронен подпис. </w:t>
      </w:r>
    </w:p>
    <w:p w:rsidR="003920E7" w:rsidRPr="00B4292E" w:rsidRDefault="003920E7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</w:p>
    <w:p w:rsidR="00FF706F" w:rsidRPr="00A35754" w:rsidRDefault="00FF706F" w:rsidP="003C350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357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Общи данни за ВиК оператора</w:t>
      </w:r>
    </w:p>
    <w:p w:rsidR="00D35359" w:rsidRPr="00BF16A1" w:rsidRDefault="00D35359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16A1">
        <w:rPr>
          <w:rFonts w:ascii="Times New Roman" w:eastAsia="Times New Roman" w:hAnsi="Times New Roman" w:cs="Times New Roman"/>
          <w:b/>
          <w:sz w:val="24"/>
          <w:szCs w:val="24"/>
        </w:rPr>
        <w:t>Справка № 1</w:t>
      </w:r>
      <w:r w:rsidR="004C13E9" w:rsidRPr="004C13E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F16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16A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16A1">
        <w:rPr>
          <w:rFonts w:ascii="Times New Roman" w:eastAsia="Times New Roman" w:hAnsi="Times New Roman" w:cs="Times New Roman"/>
          <w:b/>
          <w:i/>
          <w:sz w:val="24"/>
          <w:szCs w:val="24"/>
        </w:rPr>
        <w:t>Обща информация</w:t>
      </w:r>
    </w:p>
    <w:p w:rsidR="00FF706F" w:rsidRPr="00B4292E" w:rsidRDefault="00D32F45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Справка № 1</w:t>
      </w:r>
      <w:r w:rsidR="006B317F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съдържа общи данни за дружеството. 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Данните за </w:t>
      </w:r>
      <w:r w:rsidR="002D6A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услугите, 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предостав</w:t>
      </w:r>
      <w:r w:rsidR="002D6A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я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ни </w:t>
      </w:r>
      <w:r w:rsidR="002D6A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 ВиК оператора,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 резултативни</w:t>
      </w:r>
      <w:r w:rsidR="002D6A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Справка № 4 </w:t>
      </w:r>
      <w:r w:rsidR="002D6A98" w:rsidRPr="00DB2DD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Отчет за достигнато ниво на потребление 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Справка № 4.1.</w:t>
      </w:r>
      <w:r w:rsidR="002D6A98" w:rsidRPr="00B4292E">
        <w:t xml:space="preserve"> </w:t>
      </w:r>
      <w:r w:rsidR="002D6A98" w:rsidRPr="00DB2DD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Отчет за достигнато ниво на потребление за други ВС</w:t>
      </w:r>
      <w:r w:rsidR="002D6A9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6B317F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случай че дружеството предоставя услугата „Доставяне на вода на друг ВиК оператор“ </w:t>
      </w:r>
      <w:r w:rsidR="004068B9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попълва точното наименование на ВиК оператора/</w:t>
      </w:r>
      <w:proofErr w:type="spellStart"/>
      <w:r w:rsidR="004068B9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ите</w:t>
      </w:r>
      <w:proofErr w:type="spellEnd"/>
      <w:r w:rsidR="004068B9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на който/които се предоставя услугата. </w:t>
      </w:r>
    </w:p>
    <w:p w:rsidR="00D35359" w:rsidRPr="00B4292E" w:rsidRDefault="00D35359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35359" w:rsidRPr="00B4292E" w:rsidRDefault="00D35359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1.</w:t>
      </w:r>
      <w:proofErr w:type="spellStart"/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proofErr w:type="spellEnd"/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за общите характеристики на регистри и бази данни по смисъла на т. 83 и 84 от Указания НРКВКУ</w:t>
      </w:r>
    </w:p>
    <w:p w:rsidR="00C1792C" w:rsidRPr="00B4292E" w:rsidRDefault="00D32F45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Справка № 1.</w:t>
      </w:r>
      <w:proofErr w:type="spellStart"/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proofErr w:type="spellEnd"/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8C3185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съдържа основна информация за наличните регистри и бази данни по смисъла на т. 83 и 84 от Указания НРКВКУ</w:t>
      </w:r>
      <w:r w:rsidR="008C3185" w:rsidRPr="00752A9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C1792C" w:rsidRPr="00752A9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Справката се попълва обща информация за наличните регистри и бази данни.</w:t>
      </w:r>
    </w:p>
    <w:p w:rsidR="00DC1BC9" w:rsidRPr="00B4292E" w:rsidRDefault="00DC1BC9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Общите характеристики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включват:</w:t>
      </w:r>
    </w:p>
    <w:p w:rsidR="00DC1BC9" w:rsidRPr="00B4292E" w:rsidRDefault="00DC1BC9" w:rsidP="0029223D">
      <w:pPr>
        <w:widowControl w:val="0"/>
        <w:numPr>
          <w:ilvl w:val="0"/>
          <w:numId w:val="15"/>
        </w:numPr>
        <w:tabs>
          <w:tab w:val="left" w:pos="709"/>
          <w:tab w:val="left" w:pos="993"/>
        </w:tabs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Заповед за внедряване (вътрешна политика или процедура);</w:t>
      </w:r>
    </w:p>
    <w:p w:rsidR="00DC1BC9" w:rsidRPr="00B4292E" w:rsidRDefault="00DC1BC9" w:rsidP="003C350E">
      <w:pPr>
        <w:widowControl w:val="0"/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Наличие на правила за описание на процесите на работа с данни - набиране, обработка, анализ;</w:t>
      </w:r>
    </w:p>
    <w:p w:rsidR="00DC1BC9" w:rsidRPr="00B4292E" w:rsidRDefault="00DC1BC9" w:rsidP="003C350E">
      <w:pPr>
        <w:widowControl w:val="0"/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Наличие механизми за верифициране и 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контрол (вътрешна проверка за грешно въведени данни);</w:t>
      </w:r>
    </w:p>
    <w:p w:rsidR="00DC1BC9" w:rsidRPr="00B4292E" w:rsidRDefault="00DC1BC9" w:rsidP="003C350E">
      <w:pPr>
        <w:widowControl w:val="0"/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Наличие на потребителски имена, пароли и нива на достъп;</w:t>
      </w:r>
    </w:p>
    <w:p w:rsidR="00DC1BC9" w:rsidRPr="00B4292E" w:rsidRDefault="00DC1BC9" w:rsidP="003C350E">
      <w:pPr>
        <w:widowControl w:val="0"/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Съхраняване на записи за извършени промени в данни (дата, основание за промяна, потребител);</w:t>
      </w:r>
    </w:p>
    <w:p w:rsidR="00DC1BC9" w:rsidRPr="00B4292E" w:rsidRDefault="00DC1BC9" w:rsidP="003C350E">
      <w:pPr>
        <w:widowControl w:val="0"/>
        <w:tabs>
          <w:tab w:val="left" w:pos="993"/>
          <w:tab w:val="left" w:pos="113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92E">
        <w:rPr>
          <w:rFonts w:ascii="Times New Roman" w:eastAsia="Times New Roman" w:hAnsi="Times New Roman" w:cs="Times New Roman"/>
          <w:sz w:val="24"/>
          <w:szCs w:val="24"/>
        </w:rPr>
        <w:t>6. Невъзможност за изтриване на въведени записи;</w:t>
      </w:r>
    </w:p>
    <w:p w:rsidR="00DC1BC9" w:rsidRPr="00B4292E" w:rsidRDefault="00DC1BC9" w:rsidP="003C350E">
      <w:pPr>
        <w:widowControl w:val="0"/>
        <w:tabs>
          <w:tab w:val="left" w:pos="993"/>
          <w:tab w:val="left" w:pos="113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92E">
        <w:rPr>
          <w:rFonts w:ascii="Times New Roman" w:eastAsia="Times New Roman" w:hAnsi="Times New Roman" w:cs="Times New Roman"/>
          <w:sz w:val="24"/>
          <w:szCs w:val="24"/>
        </w:rPr>
        <w:t>7. Възможност за експортиране на данните в MS Office;</w:t>
      </w:r>
    </w:p>
    <w:p w:rsidR="00DC1BC9" w:rsidRPr="00B4292E" w:rsidRDefault="00DC1BC9" w:rsidP="003C350E">
      <w:pPr>
        <w:widowControl w:val="0"/>
        <w:tabs>
          <w:tab w:val="left" w:pos="993"/>
          <w:tab w:val="left" w:pos="113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92E">
        <w:rPr>
          <w:rFonts w:ascii="Times New Roman" w:eastAsia="Times New Roman" w:hAnsi="Times New Roman" w:cs="Times New Roman"/>
          <w:sz w:val="24"/>
          <w:szCs w:val="24"/>
        </w:rPr>
        <w:t>8. Връзка с други системи (обмен на данни);</w:t>
      </w:r>
    </w:p>
    <w:p w:rsidR="00DC1BC9" w:rsidRPr="00B4292E" w:rsidRDefault="00DC1BC9" w:rsidP="003C350E">
      <w:pPr>
        <w:widowControl w:val="0"/>
        <w:tabs>
          <w:tab w:val="left" w:pos="993"/>
          <w:tab w:val="left" w:pos="113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92E">
        <w:rPr>
          <w:rFonts w:ascii="Times New Roman" w:eastAsia="Times New Roman" w:hAnsi="Times New Roman" w:cs="Times New Roman"/>
          <w:sz w:val="24"/>
          <w:szCs w:val="24"/>
        </w:rPr>
        <w:t>9. Възможност за генериране на справки по зададени критерии.</w:t>
      </w:r>
    </w:p>
    <w:p w:rsidR="00DC1BC9" w:rsidRPr="00B4292E" w:rsidRDefault="00DC1BC9" w:rsidP="003C350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Забележка: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Точки 4 и 5 не са приложими за бази данни.</w:t>
      </w:r>
      <w:r w:rsidR="003F67D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Попълват се само при условие,</w:t>
      </w:r>
      <w:r w:rsidR="003F67D0" w:rsidRPr="00B4292E">
        <w:t xml:space="preserve"> </w:t>
      </w:r>
      <w:r w:rsidR="003F67D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че за изискуемите по т. 84 от Указанията НРКВКУ бази данни в дружеството има внедрен регистър.</w:t>
      </w:r>
    </w:p>
    <w:p w:rsidR="00DB6886" w:rsidRPr="00B4292E" w:rsidRDefault="00DB6886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C1BC9" w:rsidRPr="00B4292E" w:rsidRDefault="00DC1BC9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попълване на етапите на внедряване </w:t>
      </w:r>
      <w:r w:rsidR="00B3684E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дружеството </w:t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 да се </w:t>
      </w:r>
      <w:r w:rsidR="004F4C3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ръководи от следните</w:t>
      </w:r>
      <w:r w:rsidR="00C705E7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указания:</w:t>
      </w:r>
      <w:r w:rsidR="004F4C38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DC1BC9" w:rsidRPr="00B4292E" w:rsidRDefault="00DC1BC9" w:rsidP="003C350E">
      <w:pPr>
        <w:widowControl w:val="0"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Внедрен регистър/БД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B3684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внедрен регистър/БД</w:t>
      </w:r>
      <w:r w:rsidR="005727A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приема когато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дружеството </w:t>
      </w:r>
      <w:r w:rsidR="004F4C3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може да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представи информация за внедрената система, с данни за общи и специфични характеристики, ко</w:t>
      </w:r>
      <w:r w:rsid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 </w:t>
      </w:r>
      <w:r w:rsidR="005727A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се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потвър</w:t>
      </w:r>
      <w:r w:rsidR="005727A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ждава</w:t>
      </w:r>
      <w:r w:rsid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екранни снимки от съответната система</w:t>
      </w:r>
      <w:r w:rsidR="00C36256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както и </w:t>
      </w:r>
      <w:r w:rsidR="004F4C3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може да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потвърди отчетените стойности на променливи с екранни снимки от съответния регистър или база данни (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Внедрен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DC1BC9" w:rsidRPr="00A22271" w:rsidRDefault="00DC1BC9" w:rsidP="00A22271">
      <w:pPr>
        <w:widowControl w:val="0"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227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Регистър/БД в </w:t>
      </w:r>
      <w:r w:rsidR="00A22271" w:rsidRPr="00A2227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процес</w:t>
      </w:r>
      <w:r w:rsidRPr="00A2227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внедряване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5727AC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регистър/БД </w:t>
      </w:r>
      <w:r w:rsidR="00E31987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A22271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процес</w:t>
      </w:r>
      <w:r w:rsidR="00E31987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внедряване </w:t>
      </w:r>
      <w:r w:rsidR="005727AC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приема когато 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дружеството </w:t>
      </w:r>
      <w:r w:rsidR="00C705E7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може да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представи информация за внедре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ната система, с данни за общи и/или 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специфични характеристики, </w:t>
      </w:r>
      <w:r w:rsidR="00A22271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кои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то се</w:t>
      </w:r>
      <w:r w:rsidR="00C705E7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потвър</w:t>
      </w:r>
      <w:r w:rsidR="005727AC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ждава</w:t>
      </w:r>
      <w:r w:rsidR="00A22271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екранни снимки от съответната система</w:t>
      </w:r>
      <w:r w:rsidR="00AD745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70C4D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</w:t>
      </w:r>
      <w:r w:rsidR="00A22271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че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налични</w:t>
      </w:r>
      <w:r w:rsidR="00C36256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но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22271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в съответната система не са въведени данни за цялата отчетна година или всички изискуеми параметри е възможно 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отчетените стойности на променливите 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не се потвърдят</w:t>
      </w:r>
      <w:r w:rsidR="00957CE2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в цялост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екранни снимки от съответния регистър или база данни</w:t>
      </w:r>
      <w:r w:rsidR="00BD05A6"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доколкото същия се разработва.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Pr="00A222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процес на внедряване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DC1BC9" w:rsidRDefault="00DC1BC9" w:rsidP="003C350E">
      <w:pPr>
        <w:widowControl w:val="0"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227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Отсъствие на регистър/БД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няма внедрен регистър или база данни (</w:t>
      </w:r>
      <w:r w:rsidRPr="00A222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Отсъства</w:t>
      </w:r>
      <w:r w:rsidRPr="00A222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).  </w:t>
      </w:r>
    </w:p>
    <w:p w:rsidR="00404B01" w:rsidRPr="00A22271" w:rsidRDefault="00404B01" w:rsidP="002844E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26680" w:rsidRDefault="00E26680" w:rsidP="00571993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844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1.2. Отчет за общите характеристики на регистри и бази данни по смисъла на т. 83 и 84 от Указания НРКВКУ</w:t>
      </w:r>
      <w:r w:rsidR="00F24DF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F24DF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F24DF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F24DF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F24DF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</w:p>
    <w:p w:rsidR="00E26680" w:rsidRPr="00FB0BE2" w:rsidRDefault="00E26680" w:rsidP="002844E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0B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Справка № 1.2. съдържа информация за изискуемите специфични характеристики за наличните регистри и бази данни за отчетната година, посочени в т. 86 от Указания НРКВКУ. В колона „ ДА/НЕ“ дружеството декларира за наличието на същите, при условие че може да го потвърди чрез екранни снимки от съответния регистър или база данни при необходимост. </w:t>
      </w:r>
    </w:p>
    <w:p w:rsidR="00FF706F" w:rsidRPr="00B4292E" w:rsidRDefault="00F24DFB" w:rsidP="00571993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</w:p>
    <w:p w:rsidR="00FF706F" w:rsidRPr="00B4292E" w:rsidRDefault="00FF706F" w:rsidP="003C350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Техническа част</w:t>
      </w:r>
    </w:p>
    <w:p w:rsidR="00F13476" w:rsidRPr="00B4292E" w:rsidRDefault="00F13476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</w:t>
      </w:r>
      <w:r w:rsidR="004C13E9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</w:t>
      </w:r>
    </w:p>
    <w:p w:rsidR="00E2655A" w:rsidRPr="002844E7" w:rsidRDefault="0027687E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2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ВС „Основна“ и за ВС „Доставяне на вода с непитейни качества“.</w:t>
      </w:r>
    </w:p>
    <w:p w:rsidR="00E2655A" w:rsidRPr="00B4292E" w:rsidRDefault="00404B01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Пояснения относно представяне на отчетните данни за следните променливи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(с оглед констатирани неточности при отчитане на данните), както следва:</w:t>
      </w:r>
    </w:p>
    <w:p w:rsidR="0052643F" w:rsidRPr="00B4292E" w:rsidRDefault="00E2655A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Променлива C24 </w:t>
      </w:r>
      <w:r w:rsidRPr="000C33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 брой на </w:t>
      </w:r>
      <w:proofErr w:type="spellStart"/>
      <w:r w:rsidRPr="000C33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Pr="000C33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водопроводни отклонения </w:t>
      </w:r>
      <w:r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(участва в изчислението на ПК15а) </w:t>
      </w:r>
      <w:r w:rsidR="00AC4C81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променлива iE6 </w:t>
      </w:r>
      <w:r w:rsidR="00AC4C81" w:rsidRPr="000C33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 брой водомери на СВО (средства за измерване) </w:t>
      </w:r>
      <w:r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 </w:t>
      </w:r>
      <w:r w:rsidR="005D32A0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посочва се реален брой на </w:t>
      </w:r>
      <w:proofErr w:type="spellStart"/>
      <w:r w:rsidR="005D32A0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сградните</w:t>
      </w:r>
      <w:proofErr w:type="spellEnd"/>
      <w:r w:rsidR="005D32A0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водопроводни отклонения, без да се приравнява с броя на монтираните водомери на СВО. В броя на променлива C24 се включват </w:t>
      </w:r>
      <w:r w:rsidR="00127A2C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="00427955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отклонения</w:t>
      </w:r>
      <w:r w:rsidR="005D32A0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 които не са монтирани </w:t>
      </w:r>
      <w:r w:rsidR="00AC4C81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средства за измерване. Следва да се отчете и фа</w:t>
      </w:r>
      <w:r w:rsidR="00427955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>ктът, че на едно СВО може да има монтирани няколко средства за измерване</w:t>
      </w:r>
      <w:r w:rsidR="00127A2C" w:rsidRPr="000C33B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64676" w:rsidRPr="00B4292E" w:rsidRDefault="00264676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C254A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роменлива wD44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аварии на канализационната мрежа поради структурно разрушаване на канала за разглеждания период –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данните следва да се отразят в направление „Ремонт на участъци от канализационната мрежа под 10 м“ и направление „Ремонт на СКО“. </w:t>
      </w:r>
    </w:p>
    <w:p w:rsidR="00264676" w:rsidRPr="00B4292E" w:rsidRDefault="00264676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C254A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роменливи wD38a 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на канализационната мрежа, различни от тези в </w:t>
      </w:r>
      <w:proofErr w:type="spellStart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wD38b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 в </w:t>
      </w:r>
      <w:proofErr w:type="spellStart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следва </w:t>
      </w:r>
      <w:r w:rsidR="00C179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съответстват на ред 2.7.1 и ред 2.7.2 (отстраняване запушвания на канализационната мрежа, различни от тези в 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сградните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канализационни отклонения и отстраняване запушвания в СКО) в направление „Профилактика (почистване, продухване, други)“ за услугата отвеждане на отпадъчни води в Справка № 10 „Отчет </w:t>
      </w:r>
      <w:r w:rsidR="003A1131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3A1131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ремонтната програма“ </w:t>
      </w:r>
      <w:r w:rsidR="003D68F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738B7" w:rsidRPr="00B4292E" w:rsidRDefault="005738B7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Променлива wA2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Общо количество на постъпила за пречистване вода на вход ПСОВ, експлоатирани от ВиК оператора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– при изчисляването на променливата се сумира общото количество постъпила за пречистване отпадъчна вода на вход ПСОВ, експлоатирани от ВиК оператора за отчетната година, а не фактурираните количества пречистени отпадъчни води.</w:t>
      </w:r>
    </w:p>
    <w:p w:rsidR="00E2655A" w:rsidRPr="00B4292E" w:rsidRDefault="0007673F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Променлива wA14 </w:t>
      </w:r>
      <w:r w:rsidR="00E2655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Общо количество на сухото тегло на утайките от експлоатираните от ВиК оператора ПСОВ, произведени през годината, предхождаща отчетната година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променлива wA15 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Общо количество на сухото тегло на утайките от експлоатираните от В и К оператора ПСОВ, произведени през годината, предхождаща отчетната година, и оползотворени до края на отчетната година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(участват в изчислението на ПК11в)</w:t>
      </w:r>
      <w:r w:rsidR="00B73BA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посочват се данни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утайки, произведени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годината </w:t>
      </w:r>
      <w:r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предхождаща</w:t>
      </w:r>
      <w:r w:rsidRPr="000C33BB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отчетната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 (променлива wA14) </w:t>
      </w:r>
      <w:r w:rsidR="009C6BC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B73BA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оползотворени </w:t>
      </w:r>
      <w:r w:rsidR="00B73BAD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до края на отч</w:t>
      </w:r>
      <w:r w:rsidR="009C6BCE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етната</w:t>
      </w:r>
      <w:r w:rsidR="009C6BC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 (променлива wA15).</w:t>
      </w:r>
    </w:p>
    <w:p w:rsidR="00E2655A" w:rsidRPr="00B4292E" w:rsidRDefault="009C6BCE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- Променлива iG99</w:t>
      </w:r>
      <w:r w:rsidR="008C5D8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655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Обща сума на приходите от продажби на водоснабдителни и канализационни услуги за годината</w:t>
      </w:r>
      <w:r w:rsidR="008C5D86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лв. с ДДС </w:t>
      </w:r>
      <w:r w:rsidR="008C5D8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участва в изчислението на ПК12г) – </w:t>
      </w:r>
      <w:r w:rsidR="008C5D8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променливата се изчислява като към приходите от услуги (доставяне на вода на потребителите, отвеждане на отпадъчните води, пречистване на отпадъчните води, доставяне на вода на с непитейни качества и доставяне на вода на друг ВиК оператор, в случай че предоставя такива) </w:t>
      </w:r>
      <w:r w:rsidR="008C5D86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се добави ДДС и се включат приходите от лихви</w:t>
      </w:r>
      <w:r w:rsidR="008C5D8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забавени плащания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D736A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Променливата е резултативна</w:t>
      </w:r>
      <w:r w:rsidR="00DE2F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(от Справка № 2 </w:t>
      </w:r>
      <w:r w:rsidR="00DE2F5E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приходи и разходи</w:t>
      </w:r>
      <w:r w:rsidR="00DE2F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ЕСРО) и не се попълва.</w:t>
      </w:r>
    </w:p>
    <w:p w:rsidR="00082E7E" w:rsidRPr="00B4292E" w:rsidRDefault="00E72253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Променлива iG98 </w:t>
      </w:r>
      <w:r w:rsidR="00E2655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Обща сума на вземанията от потребители и доставчици към края на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отчетната </w:t>
      </w:r>
      <w:r w:rsidR="00E2655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година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променлива iG97 </w:t>
      </w:r>
      <w:r w:rsidR="00585C9E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Обща сума на вземанията от потребители и доставчици към края</w:t>
      </w:r>
      <w:r w:rsidR="00585C9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5C9E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 годината, предхождаща отчетната</w:t>
      </w:r>
      <w:r w:rsidR="00E2655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година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(учас</w:t>
      </w:r>
      <w:r w:rsidR="00585C9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тват в изчислението на ПК12г) – </w:t>
      </w:r>
      <w:r w:rsidR="0087693E" w:rsidRPr="00D760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съдържат се данни за</w:t>
      </w:r>
      <w:r w:rsidR="00585C9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вземанията </w:t>
      </w:r>
      <w:r w:rsidR="00585C9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клиенти и доставчици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брутен размер</w:t>
      </w:r>
      <w:r w:rsidR="000C33BB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0C33BB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без </w:t>
      </w:r>
      <w:proofErr w:type="spellStart"/>
      <w:r w:rsidR="000C33BB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обезценки</w:t>
      </w:r>
      <w:proofErr w:type="spellEnd"/>
      <w:r w:rsidR="00585C9E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, като не се включват </w:t>
      </w:r>
      <w:r w:rsidR="00E2655A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други вземания</w:t>
      </w:r>
      <w:r w:rsidR="00A223E2" w:rsidRPr="000C33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, в т.ч. и съдебните вземания</w:t>
      </w:r>
      <w:r w:rsidR="00A223E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082E7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Променливите са резултативни от Справка № 1 </w:t>
      </w:r>
      <w:r w:rsidR="00082E7E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Баланс</w:t>
      </w:r>
      <w:r w:rsidR="00082E7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E2F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ЕСРО </w:t>
      </w:r>
      <w:r w:rsidR="00082E7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proofErr w:type="spellStart"/>
      <w:r w:rsidR="00082E7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съшите</w:t>
      </w:r>
      <w:proofErr w:type="spellEnd"/>
      <w:r w:rsidR="00082E7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се попълват.</w:t>
      </w:r>
    </w:p>
    <w:p w:rsidR="00E2655A" w:rsidRPr="00B4292E" w:rsidRDefault="002B6C88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Обща сума на приходите от оперативна дейност от услугите доставяне на вода на потребителите (променлива G1, участва в изчислението на ПК12а), отвеждане на отпадъчни води (променлива iwG1b, участва в изчислението на ПК12б) и пречистване на отпадъчни води (променлива iwG1c, участва в изч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ислението на ПК12в) – включват се само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приходите от съответните услуги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без да се посочват при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ходи от присъединяване към ВиК мрежите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други приходи</w:t>
      </w:r>
      <w:r w:rsidR="00E2655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82096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Променливите са резултативни от Справка № 8 </w:t>
      </w:r>
      <w:r w:rsidR="0082096E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Приходи</w:t>
      </w:r>
      <w:r w:rsidR="0082096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ЕСРО и </w:t>
      </w:r>
      <w:proofErr w:type="spellStart"/>
      <w:r w:rsidR="0082096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съшите</w:t>
      </w:r>
      <w:proofErr w:type="spellEnd"/>
      <w:r w:rsidR="0082096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се попълват.</w:t>
      </w:r>
    </w:p>
    <w:p w:rsidR="001736F8" w:rsidRPr="00B4292E" w:rsidRDefault="001736F8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AFF" w:rsidRDefault="00A52352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 „Доставяне на вода с непитейни качества“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попълват основни данни</w:t>
      </w:r>
      <w:r w:rsidR="0087693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т.ч. </w:t>
      </w:r>
      <w:proofErr w:type="spellStart"/>
      <w:r w:rsidR="003D062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носимите</w:t>
      </w:r>
      <w:proofErr w:type="spellEnd"/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</w:t>
      </w:r>
      <w:r w:rsidR="003D062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числе</w:t>
      </w:r>
      <w:r w:rsidR="003D062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ние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показателите за качество за системата</w:t>
      </w:r>
      <w:r w:rsidR="0087693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– ПК4</w:t>
      </w:r>
      <w:r w:rsidR="003E272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E2723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Общи загуби на вода във водоснабдителните системи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ПК5</w:t>
      </w:r>
      <w:r w:rsidR="003E272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E2723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Аварии по водопроводната мрежа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ПК11г</w:t>
      </w:r>
      <w:r w:rsidR="003E272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E2723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Рехабилитация на водопроводната мрежа</w:t>
      </w:r>
      <w:r w:rsidR="006A02A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ПК12а</w:t>
      </w:r>
      <w:r w:rsidR="003E272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E2723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Ефективност на разходите за услугата доставяне на вода на потребителите</w:t>
      </w:r>
      <w:r w:rsidR="003D062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D029C" w:rsidRDefault="002D029C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D029C" w:rsidRDefault="002D029C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029C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 за качеството на информацията за съответния период се попълва с цифри от 1 до 4 в съответствие с т. 66 от Указания НРКВКУ.</w:t>
      </w:r>
    </w:p>
    <w:p w:rsidR="00BF3497" w:rsidRPr="00B4292E" w:rsidRDefault="00BF3497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349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Правилата за изчисляване на променливите, формиращи показателите за качество на ВиК услугите, и допустимите източници на информация са конкретизирани в Указания НРКВКУ, глава трета.</w:t>
      </w:r>
    </w:p>
    <w:p w:rsidR="00F13476" w:rsidRPr="00B4292E" w:rsidRDefault="00F13476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13476" w:rsidRPr="00B4292E" w:rsidRDefault="00F13476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3</w:t>
      </w:r>
      <w:r w:rsidR="004C13E9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Показатели за качество на предоставяните В и К услуги </w:t>
      </w:r>
    </w:p>
    <w:p w:rsidR="00A52352" w:rsidRPr="00B4292E" w:rsidRDefault="00C11AC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3</w:t>
      </w:r>
      <w:r w:rsidR="00630D5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резултативна 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Справка № 2 </w:t>
      </w:r>
      <w:r w:rsidR="00995F1B" w:rsidRPr="00DB2DD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</w:t>
      </w:r>
      <w:r w:rsidR="00DB2DD2" w:rsidRPr="00DB2DD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тавяните ВиК услуги </w:t>
      </w:r>
      <w:r w:rsidR="00630D5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 се отнася само за ВС „Основна“ и ВС „</w:t>
      </w:r>
      <w:r w:rsidR="00146F0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с  н</w:t>
      </w:r>
      <w:r w:rsidR="00630D5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епитейн</w:t>
      </w:r>
      <w:r w:rsidR="00146F0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 качества</w:t>
      </w:r>
      <w:r w:rsidR="00630D5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95F1B" w:rsidRPr="00B4292E" w:rsidRDefault="00995F1B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13476" w:rsidRPr="00B4292E" w:rsidRDefault="00F13476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4</w:t>
      </w:r>
      <w:r w:rsidR="004C13E9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Отчет за достигнато ниво на потребление </w:t>
      </w:r>
    </w:p>
    <w:p w:rsidR="00C86A76" w:rsidRPr="00B4292E" w:rsidRDefault="00C11ACE" w:rsidP="003C350E">
      <w:pPr>
        <w:widowControl w:val="0"/>
        <w:tabs>
          <w:tab w:val="left" w:pos="1620"/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4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ВС „Основна“, като се посочват</w:t>
      </w:r>
      <w:r w:rsidR="00C86A76"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данни за добити и подадени количества в редове 1.1-1.8, вкл. за 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ода 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а друг ВиК оператор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C86A76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(всички системи, ако са повече от една). </w:t>
      </w:r>
    </w:p>
    <w:p w:rsidR="00643EAE" w:rsidRPr="00B4292E" w:rsidRDefault="009B6261" w:rsidP="003C350E">
      <w:pPr>
        <w:widowControl w:val="0"/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proofErr w:type="spellStart"/>
      <w:r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K</w:t>
      </w:r>
      <w:r w:rsidR="00DA26F9"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оличествата</w:t>
      </w:r>
      <w:proofErr w:type="spellEnd"/>
      <w:r w:rsidR="00DA26F9"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904325"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доставена</w:t>
      </w:r>
      <w:r w:rsidR="00DA26F9"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сурова и/или пречистена вода на друг ВиК оператор, както и загубите при доставяне на сурова и/или пречистена вода на друг ВиК оператор </w:t>
      </w:r>
      <w:r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следва да съответстват на</w:t>
      </w:r>
      <w:r w:rsidR="00DA26F9" w:rsidRPr="00B429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данните в Справка № 4.1. </w:t>
      </w:r>
      <w:r w:rsidR="00DA26F9" w:rsidRPr="00B4292E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Отчет за достигнато ниво на потребление за други ВС.</w:t>
      </w:r>
    </w:p>
    <w:p w:rsidR="00CB2D6C" w:rsidRPr="00B4292E" w:rsidRDefault="00CB2D6C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Неносеща приходи вода Q9 не е равна на сбора на компонентите си, на ред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разлика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се калкулират стойности различни от нула - което ще покаже необходимост от ревизия на данните в справката.</w:t>
      </w:r>
    </w:p>
    <w:p w:rsidR="00995F1B" w:rsidRPr="00B4292E" w:rsidRDefault="00995F1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13476" w:rsidRPr="00B4292E" w:rsidRDefault="00F13476" w:rsidP="003C350E">
      <w:pPr>
        <w:widowControl w:val="0"/>
        <w:tabs>
          <w:tab w:val="left" w:pos="1560"/>
          <w:tab w:val="left" w:pos="170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Справка № 4.1</w:t>
      </w:r>
      <w:r w:rsidR="00570E0C" w:rsidRPr="004C13E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B4292E">
        <w:rPr>
          <w:b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Отчет за достигнато ниво на потребление за други ВС</w:t>
      </w:r>
    </w:p>
    <w:p w:rsidR="00995F1B" w:rsidRPr="00B4292E" w:rsidRDefault="002E7CB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4.1 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попълва за  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ода с непитейни качества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на друг ВиК оператор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За 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на друг ВиК оператор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попълват данни за всички системи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ако са повече от една. За 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на друг ВиК оператор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8E10B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попълват данни за вход, продадена вода и загуби за съответната ВС. За ВС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BD1D40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ода с непитейни качества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995F1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попълват данни за вход, продадена вода и загуби.</w:t>
      </w:r>
    </w:p>
    <w:p w:rsidR="00995F1B" w:rsidRPr="00B4292E" w:rsidRDefault="00995F1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Неносеща приходи вода Q9 не е равна на сбора на компонентите си, на ред 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разлика</w:t>
      </w:r>
      <w:r w:rsidR="004952E5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се калкулират стойности различни от нула - което ще покаже необходимост от ревизия на данните в справката.</w:t>
      </w:r>
    </w:p>
    <w:p w:rsidR="00643EAE" w:rsidRPr="00B4292E" w:rsidRDefault="00643EA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13476" w:rsidRPr="00B4292E" w:rsidRDefault="00F13476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5</w:t>
      </w:r>
      <w:r w:rsidR="009F0EE5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Подадени и фактурирани водни количества</w:t>
      </w:r>
    </w:p>
    <w:p w:rsidR="00E2655A" w:rsidRPr="00B4292E" w:rsidRDefault="00E2655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5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всяка обособена 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водоснабдителна система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(ВС 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Основна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ВС 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3F525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ода с непитейни качества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3F525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 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на друг ВиК оператор</w:t>
      </w:r>
      <w:r w:rsidR="00F8139D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). </w:t>
      </w:r>
      <w:r w:rsidR="0089799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89799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по населени места за ВС „Основна“</w:t>
      </w:r>
      <w:r w:rsidR="0092415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ВС „Доставяне на вода с непитейни качества</w:t>
      </w:r>
      <w:r w:rsidR="002E2E07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89799F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92415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 „Доставяне на вода на друг ВиК оператор“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информацията се посочва по ВиК оператори</w:t>
      </w:r>
      <w:r w:rsidR="0092415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в случай че дружеството продава вода на повече от един ВиК оператор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2934" w:rsidRPr="00CC427F" w:rsidRDefault="00DF5E9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Количествата на вход ВС, фактурирани количества и загубите на вода (в т.ч. търговски, реални и технологични) за ВС „Основна“ следва да съответстват на тези, </w:t>
      </w:r>
      <w:r w:rsidRPr="00CC427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посочени  в Справка № 4</w:t>
      </w:r>
      <w:r w:rsidRPr="00CC427F">
        <w:t xml:space="preserve"> </w:t>
      </w:r>
      <w:r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достигнато ниво на потребление</w:t>
      </w:r>
      <w:r w:rsidR="00166612"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612934" w:rsidRPr="00CC427F" w:rsidRDefault="00612934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C427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Количествата на вход ВС, фактурирани количества и загубите на вода (в т.ч. търговски, реални и технологични) за ВС „Доставян</w:t>
      </w:r>
      <w:r w:rsidR="00BD1D40" w:rsidRPr="00CC427F">
        <w:rPr>
          <w:rFonts w:ascii="Times New Roman" w:eastAsia="Times New Roman" w:hAnsi="Times New Roman" w:cs="Times New Roman"/>
          <w:sz w:val="24"/>
          <w:szCs w:val="24"/>
          <w:lang w:eastAsia="bg-BG"/>
        </w:rPr>
        <w:t>е на вода с непитейни качества“</w:t>
      </w:r>
      <w:r w:rsidRPr="00CC42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ВС „Доставяне на вода на друг ВиК оператор“ следва да съответстват на тези, посочени  в Справка № 4.1.</w:t>
      </w:r>
      <w:r w:rsidRPr="00CC427F">
        <w:t xml:space="preserve"> </w:t>
      </w:r>
      <w:r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за достигнато ниво на потребление на В и К услугите за други ВС</w:t>
      </w:r>
      <w:r w:rsidR="000821C8"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183353" w:rsidRPr="00B4292E" w:rsidRDefault="00166612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CC427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Данните за брой потребители и за дължината на водопроводната мрежа (довеждащи водопроводи и разпределителна мрежа) за ВС „Основна“ и ВС „Доставяне на вода с непитейни качества“ следва да съответстват на Справка № 2</w:t>
      </w:r>
      <w:r w:rsidR="00D546DA" w:rsidRPr="00CC427F">
        <w:t xml:space="preserve"> </w:t>
      </w:r>
      <w:r w:rsidR="00D546DA"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</w:t>
      </w:r>
      <w:r w:rsidR="00813096" w:rsidRPr="00CC42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DF5E95" w:rsidRPr="00B4292E" w:rsidRDefault="00DF5E9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u w:val="words"/>
          <w:lang w:eastAsia="bg-BG"/>
        </w:rPr>
      </w:pPr>
    </w:p>
    <w:p w:rsidR="00F13476" w:rsidRPr="00B4292E" w:rsidRDefault="00F13476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6</w:t>
      </w:r>
      <w:r w:rsidR="009F0EE5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Разрешени и добити водни количества и монтирани водомери на водоизточниците</w:t>
      </w:r>
    </w:p>
    <w:p w:rsidR="00B060B3" w:rsidRPr="00B4292E" w:rsidRDefault="00E2655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6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с данни за разрешени </w:t>
      </w:r>
      <w:r w:rsidR="006434C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добити водни количества от собствени водоизточници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Посочва се информация по водоизточници, разрешителни за </w:t>
      </w:r>
      <w:proofErr w:type="spellStart"/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водовземане</w:t>
      </w:r>
      <w:proofErr w:type="spellEnd"/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(номер, дата, срок на валидност), монтирани водомери на водоизточника, година на последна метрологична проверка.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правката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посо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чва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6940E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нформация и за закупената</w:t>
      </w:r>
      <w:r w:rsidR="00B060B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вода от друг доставчик, </w:t>
      </w:r>
      <w:r w:rsidR="00B060B3" w:rsidRPr="00AC1DC0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 за монтирано измервателно устройство, дата на последна метрологична проверка</w:t>
      </w:r>
      <w:r w:rsidR="00B060B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337A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 че ВиК операторът закупува вода от повече от един доставчик, информацията се представя по доставчици.</w:t>
      </w:r>
      <w:r w:rsidR="00B060B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558AC" w:rsidRPr="00B4292E" w:rsidRDefault="001558AC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7</w:t>
      </w:r>
      <w:r w:rsidR="009F0EE5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Разрешени и </w:t>
      </w:r>
      <w:proofErr w:type="spellStart"/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заустени</w:t>
      </w:r>
      <w:proofErr w:type="spellEnd"/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отпадъчни води</w:t>
      </w:r>
    </w:p>
    <w:p w:rsidR="00EF7A39" w:rsidRPr="00B4292E" w:rsidRDefault="00EF7A3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7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с данни за разрешени и 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заустени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отпадъчни води</w:t>
      </w:r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60488" w:rsidRPr="00B4292E">
        <w:t xml:space="preserve"> </w:t>
      </w:r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Посочва се информация по </w:t>
      </w:r>
      <w:proofErr w:type="spellStart"/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приемници</w:t>
      </w:r>
      <w:proofErr w:type="spellEnd"/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отпадъчни</w:t>
      </w:r>
      <w:r w:rsidR="005D32A0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води </w:t>
      </w:r>
      <w:r w:rsidR="00660488" w:rsidRPr="003562A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канализационни системи и от ПСОВ,</w:t>
      </w:r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разрешителни за </w:t>
      </w:r>
      <w:proofErr w:type="spellStart"/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заустване</w:t>
      </w:r>
      <w:proofErr w:type="spellEnd"/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(номер, дата, срок на валидност), монтирани водомери на </w:t>
      </w:r>
      <w:r w:rsidR="008B4DD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пунктове преди </w:t>
      </w:r>
      <w:proofErr w:type="spellStart"/>
      <w:r w:rsidR="008B4DD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заустване</w:t>
      </w:r>
      <w:proofErr w:type="spellEnd"/>
      <w:r w:rsidR="0066048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година на последна метрологична проверка</w:t>
      </w:r>
      <w:r w:rsidR="008B4DD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F7A39" w:rsidRPr="00B4292E" w:rsidRDefault="00EF7A3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8</w:t>
      </w:r>
      <w:r w:rsidR="009F0EE5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Брой водомери на СВО, преминали </w:t>
      </w:r>
      <w:proofErr w:type="spellStart"/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последваща</w:t>
      </w:r>
      <w:proofErr w:type="spellEnd"/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проверка/подменени</w:t>
      </w:r>
    </w:p>
    <w:p w:rsidR="003F5258" w:rsidRPr="00B4292E" w:rsidRDefault="003F5258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8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ВС „Основна“ и ВС „</w:t>
      </w:r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ода с непитейни качества“. Представят се данни </w:t>
      </w:r>
      <w:r w:rsidR="00E00C5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населени места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брой СВО и брой водомери на СВО, проверени и/или подменени водомери на СВО за основната система и за системата за доставяне на вода с непитейни качества.</w:t>
      </w:r>
    </w:p>
    <w:p w:rsidR="00B74EDD" w:rsidRPr="007C5686" w:rsidRDefault="00B74ED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Данните за брой на СВО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брой водомери, монтирани на СВО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ВС „Основна“ 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ВС „Доставяне на вода с непитейни качества“ 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 да съответстват на променлив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C24</w:t>
      </w:r>
      <w:r w:rsidR="00B4292E" w:rsidRPr="007C5686">
        <w:t xml:space="preserve"> </w:t>
      </w:r>
      <w:r w:rsidR="00B4292E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 брой на </w:t>
      </w:r>
      <w:proofErr w:type="spellStart"/>
      <w:r w:rsidR="00B4292E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="00B4292E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водопроводни отклонения</w:t>
      </w:r>
      <w:r w:rsidR="00172457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172457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променлива</w:t>
      </w:r>
      <w:r w:rsidR="00172457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iE6</w:t>
      </w:r>
      <w:r w:rsidR="00B4292E" w:rsidRPr="007C5686">
        <w:t xml:space="preserve"> </w:t>
      </w:r>
      <w:r w:rsidR="00B4292E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 брой водомери на СВО (средства за измерване)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122FFD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4292E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посочени в Справка № 2 </w:t>
      </w:r>
      <w:r w:rsidR="00C22FDC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услуги.</w:t>
      </w:r>
    </w:p>
    <w:p w:rsidR="000B7B99" w:rsidRPr="00F33688" w:rsidRDefault="00122FF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Данните за 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брой водомери на СВО, преминали </w:t>
      </w:r>
      <w:proofErr w:type="spellStart"/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последваща</w:t>
      </w:r>
      <w:proofErr w:type="spellEnd"/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проверка/подменени за ВС „Основна“</w:t>
      </w:r>
      <w:r w:rsidR="00172457" w:rsidRPr="007C5686">
        <w:t xml:space="preserve"> </w:t>
      </w:r>
      <w:r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да </w:t>
      </w:r>
      <w:r w:rsidR="00F33688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променлива</w:t>
      </w:r>
      <w:r w:rsidR="00172457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iD45 </w:t>
      </w:r>
      <w:r w:rsidR="00172457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 брой водомери на СВО (средства за измерване), които са приведени в техническа и метрологична годност през отчетната година и отговарят на одобрения тип, и които са монтирани на СВО през отчетната година</w:t>
      </w:r>
      <w:r w:rsidR="00F33688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="00F33688" w:rsidRPr="007C5686">
        <w:t xml:space="preserve"> </w:t>
      </w:r>
      <w:r w:rsidR="00F33688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посочени в Справка № 2</w:t>
      </w:r>
      <w:r w:rsidR="00F33688" w:rsidRPr="007C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Променливи за изчисление на показателите за качество на предоставяните ВиК услуги.</w:t>
      </w:r>
    </w:p>
    <w:p w:rsidR="00122FFD" w:rsidRPr="00B4292E" w:rsidRDefault="00122FFD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843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 № 8.1.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Монтирани средства за измерване на пунктовете за отдаване вода на друг ВиК оператор</w:t>
      </w:r>
    </w:p>
    <w:p w:rsidR="0002035E" w:rsidRPr="00B4292E" w:rsidRDefault="0044647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8.1.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съдържа информация за монтираните средства за измерване на пунктовете за отдаване на вода на друг ВиК</w:t>
      </w:r>
      <w:r w:rsidR="009C1E8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оператор – пунктовете за отдаване на друг ВиК оператор, средства за </w:t>
      </w:r>
      <w:proofErr w:type="spellStart"/>
      <w:r w:rsidR="009C1E8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имерване</w:t>
      </w:r>
      <w:proofErr w:type="spellEnd"/>
      <w:r w:rsidR="009C1E8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proofErr w:type="spellStart"/>
      <w:r w:rsidR="009C1E8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фабр</w:t>
      </w:r>
      <w:proofErr w:type="spellEnd"/>
      <w:r w:rsidR="009C1E8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 №, наличие на пломба, дата на последна метрологична проверка и срок на метрологична годност.</w:t>
      </w:r>
    </w:p>
    <w:p w:rsidR="009C1E83" w:rsidRPr="00B4292E" w:rsidRDefault="009C1E83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98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9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потреблението на ел</w:t>
      </w:r>
      <w:r w:rsidR="002D7014"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.енергия</w:t>
      </w:r>
    </w:p>
    <w:p w:rsidR="00BD6650" w:rsidRPr="007C5686" w:rsidRDefault="00C748D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9</w:t>
      </w:r>
      <w:r w:rsidR="000203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съдържа информация за потреблението на ел. енергия </w:t>
      </w:r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отчетната година </w:t>
      </w:r>
      <w:r w:rsidR="000203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всяка обособена система (ВС „Основна“, ВС „</w:t>
      </w:r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</w:t>
      </w:r>
      <w:r w:rsidR="000203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ода с непитейни </w:t>
      </w:r>
      <w:r w:rsidR="000203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качества“ и ВС „Доставяне на вода на друг ВиК оператор). </w:t>
      </w:r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ВС „Основна“ се посочват данните за </w:t>
      </w:r>
      <w:proofErr w:type="spellStart"/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потребена</w:t>
      </w:r>
      <w:proofErr w:type="spellEnd"/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ел. енергия </w:t>
      </w:r>
      <w:r w:rsidR="000B7B9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услуги и </w:t>
      </w:r>
      <w:r w:rsidR="00A4672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нива на напрежение, в количествено и стойностно изражение. </w:t>
      </w:r>
      <w:r w:rsidR="000B7B9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 ВС “Доставяне на вода с непитейни качества“ </w:t>
      </w:r>
      <w:proofErr w:type="spellStart"/>
      <w:r w:rsidR="000B7B9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потребената</w:t>
      </w:r>
      <w:proofErr w:type="spellEnd"/>
      <w:r w:rsidR="000B7B9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ел. енергия се посочва общо, в</w:t>
      </w:r>
      <w:r w:rsidR="000B7B99" w:rsidRPr="00B4292E">
        <w:t xml:space="preserve"> </w:t>
      </w:r>
      <w:r w:rsidR="000B7B99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количествено и стойностно изражение. За ВС „Доставяне на вода на друг ВиК оператор“, информацията се посочва по ВиК оператори, в случай че дружеството продава вода на повече от един ВиК оператор</w:t>
      </w:r>
      <w:r w:rsidR="000B7B99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D6650" w:rsidRPr="007C56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ВС „Доставяне на вода за друг ВиК оператор“ се попълват данни за електроенергия за съответната ВС след разпределение съгласно принципите на ЕСРО.  </w:t>
      </w:r>
    </w:p>
    <w:p w:rsidR="00D445CE" w:rsidRPr="00B4292E" w:rsidRDefault="00D445C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Изразходваната ел</w:t>
      </w:r>
      <w:r w:rsidR="007C5686"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енергия за административни нужди се посочва на отделен ред в справката</w:t>
      </w:r>
      <w:r w:rsidR="00C362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(по</w:t>
      </w:r>
      <w:r w:rsidR="00A42257"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отделно за всяка обособена ВС)</w:t>
      </w:r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 се включва в данните за </w:t>
      </w:r>
      <w:proofErr w:type="spellStart"/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потребената</w:t>
      </w:r>
      <w:proofErr w:type="spellEnd"/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ел. енергия по услуги и системи за технологични нужди.</w:t>
      </w:r>
    </w:p>
    <w:p w:rsidR="00EE443F" w:rsidRPr="00B4292E" w:rsidRDefault="00EE443F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</w:t>
      </w:r>
      <w:r w:rsidR="003E2A45"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бизнес плана </w:t>
      </w:r>
      <w:r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дружеството е прогнозирало разходи за ел. енергия за нерегулирана дейност, в Справка № 9 </w:t>
      </w:r>
      <w:r w:rsidR="003E2A45"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да се </w:t>
      </w:r>
      <w:r w:rsidR="00D071CE"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отчетат данни за </w:t>
      </w:r>
      <w:proofErr w:type="spellStart"/>
      <w:r w:rsidR="00D071CE"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потребена</w:t>
      </w:r>
      <w:proofErr w:type="spellEnd"/>
      <w:r w:rsidR="00D071CE" w:rsidRPr="00945E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ел. енергия, като се приложи принципът на разпределение, заложен в бизнес плана.</w:t>
      </w:r>
    </w:p>
    <w:p w:rsidR="00C37F4A" w:rsidRPr="00833CF3" w:rsidRDefault="00C37F4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условие, че ВиК операторът произвежда ел. енергия се представя информация за произведената и оползотворена/продадена ел.енергия.</w:t>
      </w:r>
    </w:p>
    <w:p w:rsidR="000B7B99" w:rsidRPr="00B4292E" w:rsidRDefault="00C37F4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3CF3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Посочват се и данни за сключени договори на свободен пазар.</w:t>
      </w:r>
    </w:p>
    <w:p w:rsidR="00C37F4A" w:rsidRPr="00B4292E" w:rsidRDefault="00C37F4A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70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10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за ремонтната програма</w:t>
      </w:r>
    </w:p>
    <w:p w:rsidR="00056CF2" w:rsidRDefault="00F9065C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 № 10 се попълва само за ВС „Основна“</w:t>
      </w:r>
      <w:r w:rsidR="00056CF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 Посочват се оперативните ремонти по услуги и направления, в количествено и стойностно изражение.</w:t>
      </w:r>
    </w:p>
    <w:p w:rsidR="00B365CE" w:rsidRPr="00024924" w:rsidRDefault="00B365C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>В направление „Профилактика (почистване, продухване, други)“ за услугата за водоснабдяване се включват всички дейности по профилактика.</w:t>
      </w:r>
    </w:p>
    <w:p w:rsidR="00330EFB" w:rsidRPr="00B4292E" w:rsidRDefault="00056CF2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други разходи за водоснабдяване се посочват и извършените от ВиК оператора разходи за ремонт на водомери</w:t>
      </w:r>
      <w:r w:rsidR="00717EE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17EEB" w:rsidRPr="007126E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СВО</w:t>
      </w:r>
      <w:r w:rsidR="00330EFB" w:rsidRPr="007126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(ред</w:t>
      </w:r>
      <w:r w:rsidR="00330EF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1.13.1)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не се вклю</w:t>
      </w:r>
      <w:r w:rsidR="00717EE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ч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ват ремонтите, извършени от външни </w:t>
      </w:r>
      <w:r w:rsidR="00717EE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фирми</w:t>
      </w:r>
      <w:r w:rsidR="00330EF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53491" w:rsidRPr="00B4292E" w:rsidRDefault="00553491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направление „Ремонт на участъци от канализационната мрежа под 10 м“ и направление „Ремонт на СКО“ следва да се посочват</w:t>
      </w:r>
      <w:r w:rsidRPr="00B4292E">
        <w:t xml:space="preserve">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броя аварии на канализационната мрежа поради структурно разрушаване на канала за разглеждания период (променлива wD44).</w:t>
      </w:r>
      <w:r w:rsidR="00024924" w:rsidRP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A22E3C" w:rsidRPr="00100CA2" w:rsidRDefault="00330EF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направление „Профилактика (почистване, продухване, други)“ за услугата отвеждане на отпадъчни води </w:t>
      </w:r>
      <w:r w:rsid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включват всички дейности, свързани с профилактика на канализация</w:t>
      </w:r>
      <w:r w:rsidR="00024924" w:rsidRP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ред 2.7, в това число дейностите </w:t>
      </w:r>
      <w:r w:rsidR="00A22E3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отстраняване запушвания на канализационната мрежа, различни от тези в </w:t>
      </w:r>
      <w:proofErr w:type="spellStart"/>
      <w:r w:rsidR="00A22E3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сградните</w:t>
      </w:r>
      <w:proofErr w:type="spellEnd"/>
      <w:r w:rsidR="00A22E3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канализационни отклонения и отстраняване запушвания в СКО</w:t>
      </w:r>
      <w:r w:rsidR="00024924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се посочват и на ред 2.7.1 и ред 2.7.2.</w:t>
      </w:r>
      <w:r w:rsidR="00A22E3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Посоченият брой запушвания</w:t>
      </w:r>
      <w:r w:rsidR="005D551A" w:rsidRPr="00B4292E">
        <w:t xml:space="preserve"> </w:t>
      </w:r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канализационната мрежа, различни от тези в </w:t>
      </w:r>
      <w:proofErr w:type="spellStart"/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сградните</w:t>
      </w:r>
      <w:proofErr w:type="spellEnd"/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канализационни отклонения и отстраняване запушвания в СКО следва да съответства на данните за променливи wD38a  </w:t>
      </w:r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на канализационната мрежа, различни от тези в </w:t>
      </w:r>
      <w:proofErr w:type="spellStart"/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</w:t>
      </w:r>
      <w:r w:rsidR="004C086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wD38b</w:t>
      </w:r>
      <w:r w:rsidR="004C0868" w:rsidRPr="00B4292E">
        <w:t xml:space="preserve"> </w:t>
      </w:r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 в </w:t>
      </w:r>
      <w:proofErr w:type="spellStart"/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="004C0868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</w:t>
      </w:r>
      <w:r w:rsidR="005D551A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посочени в Справка № 2 </w:t>
      </w:r>
      <w:r w:rsidR="005D551A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Променливи за </w:t>
      </w:r>
      <w:r w:rsidR="005D551A" w:rsidRPr="00100CA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изчисление на показателите за качество на предоставяните ВиК услуги.</w:t>
      </w:r>
    </w:p>
    <w:p w:rsidR="00BA4EA9" w:rsidRPr="00100CA2" w:rsidRDefault="00BA4EA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В ремонтната програма не се отнасят разходи, които нямат характер на оперативен ремонт като: разходи за калибриране на лабораторни уреди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разходи за годишни технически прегледи на автомобилите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както и разходи, </w:t>
      </w: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които в същността си са капиталови, или неприсъщи разходи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т.ч. </w:t>
      </w: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източени в</w:t>
      </w:r>
      <w:r w:rsidRPr="00314C89">
        <w:rPr>
          <w:rFonts w:ascii="Times New Roman" w:eastAsia="Times New Roman" w:hAnsi="Times New Roman" w:cs="Times New Roman"/>
          <w:sz w:val="24"/>
          <w:szCs w:val="24"/>
          <w:lang w:eastAsia="bg-BG"/>
        </w:rPr>
        <w:t>одни количества</w:t>
      </w:r>
      <w:r w:rsidR="000405A4" w:rsidRPr="00314C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  <w:proofErr w:type="spellStart"/>
      <w:r w:rsidR="000405A4" w:rsidRPr="00314C89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доставно-складови</w:t>
      </w:r>
      <w:proofErr w:type="spellEnd"/>
      <w:r w:rsidR="000405A4" w:rsidRPr="00314C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разходи, определени на различна база вместо реално вложени материали и др.</w:t>
      </w:r>
    </w:p>
    <w:p w:rsidR="00BA4EA9" w:rsidRPr="00B4292E" w:rsidRDefault="00BA4EA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Дейностите по полагане на асфалтови настилки и обратна </w:t>
      </w:r>
      <w:proofErr w:type="spellStart"/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засипка</w:t>
      </w:r>
      <w:proofErr w:type="spellEnd"/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посочват в направление </w:t>
      </w:r>
      <w:r w:rsidR="00356030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Шурфове</w:t>
      </w:r>
      <w:proofErr w:type="spellEnd"/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(изкопни дейности</w:t>
      </w:r>
      <w:r w:rsidR="00402D4A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  <w:r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пътни настилки</w:t>
      </w:r>
      <w:r w:rsidR="00356030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когато </w:t>
      </w:r>
      <w:r w:rsidR="000405A4" w:rsidRPr="00100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 са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част от ремонтните дейности по обектите към направления 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Профилактика (почистване, продухване, други)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Ремонт на участъци </w:t>
      </w:r>
      <w:r w:rsidR="00B76F0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водопроводната мрежа под 10м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B76F0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B76F0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Ремонт на участъци от канализационната мрежа под 10 м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B76F0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Ремонт на СВО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Ремонт на СКО</w:t>
      </w:r>
      <w:r w:rsidR="00100CA2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0405A4" w:rsidRPr="00100C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E5724" w:rsidRPr="00B4292E" w:rsidRDefault="00BE5724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Сумата на разходите за ремонт по услуги (доставяне на вода, отвеждане 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пречистване на отпадъчни води) следва да съответстват на тези, отчетени в Справка № 17.1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Отчет на годишните разходи за регулираните услуги.</w:t>
      </w:r>
    </w:p>
    <w:p w:rsidR="002B6C88" w:rsidRPr="00B4292E" w:rsidRDefault="002B6C88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98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10.1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за ремонтната програма за други ВС</w:t>
      </w:r>
    </w:p>
    <w:p w:rsidR="007C67DF" w:rsidRPr="00B4292E" w:rsidRDefault="00A43EB8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 № 10.1. се попълва за ВС 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с непитейни качества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за ВС 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за друг ВиК оператор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 случай че ВС 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 на вода на друг ВиК оператор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</w:t>
      </w:r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обособена изцяло за друг ВиК оператор се попълват данни за брой и стойност на ремонтите. При условие, че ВС  </w:t>
      </w:r>
      <w:r w:rsidR="00064F93"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Доставяне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вода за друг ВиК оператор</w:t>
      </w:r>
      <w:r w:rsidR="00064F93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подава вода и към ВС „Основна“, то в Справка 10.1 се посочват разпределените разходи за ремонт съгласно принципите на ЕСРО.  </w:t>
      </w:r>
    </w:p>
    <w:p w:rsidR="00007E16" w:rsidRPr="00B4292E" w:rsidRDefault="00007E16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Сумата на разходите за ремонт по услуги (доставяне на вода с непитейни качества и доставяне на вода на друг ВиК оператор) следва да съответстват на тези, отчетени в Справка № 17.1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Отчет на годишните разходи за регулираните услуги.</w:t>
      </w:r>
    </w:p>
    <w:p w:rsidR="00A43EB8" w:rsidRPr="00B4292E" w:rsidRDefault="00A43EB8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0C5B" w:rsidRPr="00B4292E" w:rsidRDefault="00A52352" w:rsidP="003C350E">
      <w:pPr>
        <w:widowControl w:val="0"/>
        <w:tabs>
          <w:tab w:val="left" w:pos="1560"/>
          <w:tab w:val="left" w:pos="1843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11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b/>
        </w:rPr>
        <w:t xml:space="preserve"> </w:t>
      </w:r>
      <w:r w:rsidRPr="00B4292E">
        <w:rPr>
          <w:b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Брой аварии във водоснабдителната и канализационната системи</w:t>
      </w:r>
    </w:p>
    <w:p w:rsidR="00996B4B" w:rsidRPr="00B4292E" w:rsidRDefault="00E00C5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A43EB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11</w:t>
      </w:r>
      <w:r w:rsidR="00A43EB8" w:rsidRPr="00B4292E">
        <w:rPr>
          <w:b/>
        </w:rPr>
        <w:t xml:space="preserve">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ВС „Основна“ и ВС „Доставяне на вода с непитейни качества“.</w:t>
      </w:r>
      <w:r w:rsidR="00791C5E" w:rsidRPr="00B4292E">
        <w:t xml:space="preserve"> </w:t>
      </w:r>
      <w:r w:rsidR="00791C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A43EB8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791C5E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по населени места за ВС „Основна“ и ВС „Доставяне на вода с непитейни качества.</w:t>
      </w:r>
      <w:r w:rsidR="0085546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Данните за брой аварии по довеждащите водопроводи, аварии по разпределителна мрежа и аварии по арматури и </w:t>
      </w:r>
      <w:proofErr w:type="spellStart"/>
      <w:r w:rsidR="0085546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фитинги</w:t>
      </w:r>
      <w:proofErr w:type="spellEnd"/>
      <w:r w:rsidR="0085546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следва да съответстват на променлива D28 </w:t>
      </w:r>
      <w:r w:rsidR="008554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Общ брой аварии по водопроводната мрежа, включително по арматури и </w:t>
      </w:r>
      <w:proofErr w:type="spellStart"/>
      <w:r w:rsidR="008554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фитинги</w:t>
      </w:r>
      <w:proofErr w:type="spellEnd"/>
      <w:r w:rsidR="00996B4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996B4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="0085546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Справка № 2</w:t>
      </w:r>
      <w:r w:rsidR="00855462" w:rsidRPr="00B4292E">
        <w:t xml:space="preserve"> </w:t>
      </w:r>
      <w:r w:rsidR="0085546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</w:t>
      </w:r>
      <w:r w:rsidR="00996B4B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96B4B" w:rsidRPr="00B4292E" w:rsidRDefault="00996B4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Запушванията по канализационни мрежи, запушванията на СКО и авариите на СКО, поради структурно разрушаване на канала следва да съответстват на променливи</w:t>
      </w:r>
      <w:r w:rsidRPr="00B4292E">
        <w:t xml:space="preserve">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wD38a</w:t>
      </w:r>
      <w:r w:rsidR="00F82B09"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на канализационната мрежа, различни от тези в </w:t>
      </w:r>
      <w:proofErr w:type="spellStart"/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wD38b </w:t>
      </w:r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запушвания  в </w:t>
      </w:r>
      <w:proofErr w:type="spellStart"/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сградните</w:t>
      </w:r>
      <w:proofErr w:type="spellEnd"/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канализационни отклонения за разглеждания период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 wD44</w:t>
      </w:r>
      <w:r w:rsidRPr="00B4292E">
        <w:t xml:space="preserve"> </w:t>
      </w:r>
      <w:r w:rsidR="00F82B09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Брой аварии на канализационната мрежа поради структурно разрушаване на канала за разглеждания период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Справка № 2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услуги.</w:t>
      </w:r>
      <w:r w:rsidR="00051EC0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051EC0" w:rsidRPr="00B4292E" w:rsidRDefault="00051EC0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Данните за дължина на водопроводната и канализационната мрежа, брой СВО и СКО, брой ВПС и КПС следва да съответстват на данните в раздел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Ак</w:t>
      </w:r>
      <w:r w:rsidR="00F309B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ти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ви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Справка № 2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Променливи за изчисление на показателите за качество на предоставяните ВиК услуги.</w:t>
      </w:r>
    </w:p>
    <w:p w:rsidR="00F82B09" w:rsidRPr="00B4292E" w:rsidRDefault="00F82B09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9799F" w:rsidRPr="00B4292E" w:rsidRDefault="00A52352" w:rsidP="003C350E">
      <w:pPr>
        <w:widowControl w:val="0"/>
        <w:tabs>
          <w:tab w:val="left" w:pos="1560"/>
          <w:tab w:val="left" w:pos="170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12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и разчет на броя анализи на питейна вода</w:t>
      </w:r>
    </w:p>
    <w:p w:rsidR="00227405" w:rsidRPr="00B4292E" w:rsidRDefault="0022740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12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попълват данни за брой анализи </w:t>
      </w:r>
      <w:r w:rsidR="00796C27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качество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питейната вода в големи и малки зони на водоснабдяване. Данните се посочват по зони на водоснабдяване, а не общо. Сумата на зоните следва да съответства на променлива </w:t>
      </w:r>
      <w:r w:rsidR="00C81B9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iD99 </w:t>
      </w:r>
      <w:r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 брой на зоните на водоснабдяване в обслужва</w:t>
      </w:r>
      <w:r w:rsidR="00C81B9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ната от ВиК оператора територия</w:t>
      </w:r>
      <w:r w:rsidR="00C81B92" w:rsidRPr="00B4292E">
        <w:t xml:space="preserve"> </w:t>
      </w:r>
      <w:r w:rsidR="00C81B92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Справка № 2 </w:t>
      </w:r>
      <w:r w:rsidR="00C81B92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услуги.</w:t>
      </w:r>
      <w:r w:rsidR="00796C2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796C27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Данните за брой анализи за качество на питейната вода в големи и малки зони на водоснабдяване също  следва да съответства на данните в Справка № 2</w:t>
      </w:r>
      <w:r w:rsidR="00796C27" w:rsidRPr="00B4292E">
        <w:t xml:space="preserve"> </w:t>
      </w:r>
      <w:r w:rsidR="00796C27" w:rsidRPr="00B4292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Променливи за изчисление на показателите за качество на предоставяните ВиК услуги.</w:t>
      </w:r>
    </w:p>
    <w:p w:rsidR="00227405" w:rsidRPr="00B4292E" w:rsidRDefault="0022740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A52352" w:rsidRPr="00B4292E" w:rsidRDefault="00A52352" w:rsidP="003C350E">
      <w:pPr>
        <w:widowControl w:val="0"/>
        <w:tabs>
          <w:tab w:val="left" w:pos="170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13</w:t>
      </w:r>
      <w:r w:rsidR="004E33F8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Отчет и разчет на броя проби на отпадъчни води, изискуеми съгласно разрешителните за </w:t>
      </w:r>
      <w:proofErr w:type="spellStart"/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заустване</w:t>
      </w:r>
      <w:proofErr w:type="spellEnd"/>
    </w:p>
    <w:p w:rsidR="000C13AB" w:rsidRPr="00B4292E" w:rsidRDefault="000C13AB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справка</w:t>
      </w:r>
      <w:r w:rsidR="00C748DB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13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попълват данни за броя проби </w:t>
      </w:r>
      <w:r w:rsidR="008C6A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качество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отпадъчни</w:t>
      </w:r>
      <w:r w:rsidR="008C6A4A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води, изискуеми съгласно разрешителните за </w:t>
      </w:r>
      <w:proofErr w:type="spellStart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заустване</w:t>
      </w:r>
      <w:proofErr w:type="spellEnd"/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графа „Разрешителни за </w:t>
      </w:r>
      <w:proofErr w:type="spellStart"/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заустване</w:t>
      </w:r>
      <w:proofErr w:type="spellEnd"/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се попълват данни за разрешителни за </w:t>
      </w:r>
      <w:proofErr w:type="spellStart"/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>заустване</w:t>
      </w:r>
      <w:proofErr w:type="spellEnd"/>
      <w:r w:rsidRPr="002A1483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канализационна система/ПСОВ, приемник.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Данните за брой проби </w:t>
      </w:r>
      <w:r w:rsidR="00104DC4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качество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отпадъчни</w:t>
      </w:r>
      <w:r w:rsidR="00104DC4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води (отговарящи и общ брой взети проби)</w:t>
      </w:r>
      <w:r w:rsidR="00104DC4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 да съответства</w:t>
      </w:r>
      <w:r w:rsidR="009136B9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данните в Справка № </w:t>
      </w:r>
      <w:r w:rsidRPr="00DB2DD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 Променливи за изчисление на показателите за качество на предоставяните ВиК услуги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2485" w:rsidRPr="00B4292E" w:rsidRDefault="009E2485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70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14</w:t>
      </w:r>
      <w:r w:rsidR="00B442E3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844E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ab/>
        <w:t>Произведени и оползотворени утайки от ПСОВ</w:t>
      </w:r>
      <w:r w:rsidRPr="002844E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ab/>
      </w:r>
    </w:p>
    <w:p w:rsidR="006430EE" w:rsidRPr="006430EE" w:rsidRDefault="00A8452E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справка</w:t>
      </w:r>
      <w:r w:rsidR="00C748DB"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№ 14</w:t>
      </w:r>
      <w:r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попълва обобщена информация от всички ПСОВ, </w:t>
      </w:r>
      <w:proofErr w:type="spellStart"/>
      <w:r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екплоатирани</w:t>
      </w:r>
      <w:proofErr w:type="spellEnd"/>
      <w:r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ВиК оператора, с данни за налични утайки за оползотворяване и депониране</w:t>
      </w:r>
      <w:r w:rsidR="00ED7D3E"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(към края на предходната и за отчетната година)</w:t>
      </w:r>
      <w:r w:rsidR="007A43FB"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оползотворени и депонирани утайки и разходи за оползотворяване и депониране.</w:t>
      </w:r>
      <w:r w:rsidR="00B1728B"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430EE" w:rsidRPr="007168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Разходите за оползотворяване и за депониране на утайките (собствени разходи и разходи за външни услуги) следва да съответстват на тези, посочени в Справка № 17.1 </w:t>
      </w:r>
      <w:r w:rsidR="006430EE" w:rsidRPr="007168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годишните разходи за регулираните услуги.</w:t>
      </w:r>
    </w:p>
    <w:p w:rsidR="006430EE" w:rsidRDefault="006430EE" w:rsidP="003C350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52352" w:rsidRPr="00B4292E" w:rsidRDefault="00A52352" w:rsidP="003C350E">
      <w:pPr>
        <w:widowControl w:val="0"/>
        <w:tabs>
          <w:tab w:val="left" w:pos="1560"/>
          <w:tab w:val="left" w:pos="198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14.1</w:t>
      </w:r>
      <w:r w:rsidR="00B442E3" w:rsidRPr="002C30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29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Произведени </w:t>
      </w:r>
      <w:r w:rsidR="00C903F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утайки от всяка ПСОВ през отчетната  година, които са</w:t>
      </w:r>
      <w:r w:rsidRPr="00B4292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оползотворени </w:t>
      </w:r>
      <w:r w:rsidR="00C903F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 депонирани през отчетната година</w:t>
      </w:r>
    </w:p>
    <w:p w:rsidR="003631CF" w:rsidRPr="00B4292E" w:rsidRDefault="00170007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Справка</w:t>
      </w:r>
      <w:r w:rsidR="00C748DB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№ 14.1</w:t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попълва за всяка ПСОВ. </w:t>
      </w:r>
      <w:r w:rsidR="00CB2D6C"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Обобщените данни от всяка ПСОВ за </w:t>
      </w:r>
      <w:r w:rsidRPr="00B4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роизведени, оползотворени и депонирани  утайки през отчетната година</w:t>
      </w:r>
      <w:r w:rsidR="00CB2D6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п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роцент влажност на оползотворените </w:t>
      </w:r>
      <w:r w:rsidR="00CB2D6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B2D6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депонираните </w:t>
      </w:r>
      <w:r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утайки </w:t>
      </w:r>
      <w:r w:rsidR="00CB2D6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следва да съответстват на данните в Справка № 14</w:t>
      </w:r>
      <w:r w:rsidR="00DB2DD2" w:rsidRPr="00DB2DD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B2DD2" w:rsidRPr="00DB2DD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Произведени и оползотворени утайки от ПСОВ</w:t>
      </w:r>
      <w:r w:rsidR="00CB2D6C" w:rsidRPr="00B429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FC0FE2" w:rsidRPr="00B4292E" w:rsidRDefault="00FC0FE2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BC1874" w:rsidRDefault="00BC1874" w:rsidP="003C350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18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Икономическа част </w:t>
      </w:r>
    </w:p>
    <w:p w:rsidR="00BC1874" w:rsidRPr="003F7943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F79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15</w:t>
      </w:r>
      <w:r w:rsidR="00B442E3" w:rsidRPr="00B442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F79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за приходи и разходи</w:t>
      </w:r>
      <w:r w:rsidRPr="003F79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Отчетът за приходите и разходите се изготвя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дейност на дружеството и следва да съответства на Отчета за приходите и разходите (ОПР) на дружеството от годишния финансов отчет.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1F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редовете за разходите по икономически елементи:</w:t>
      </w:r>
      <w:r w:rsidRPr="00121F10">
        <w:t xml:space="preserve"> </w:t>
      </w:r>
      <w:r w:rsidRPr="00121F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Суровини и материали; Външни услуги; Разходи за възнаграждения; Разходи за социални осигуровки; Разходи за амортизация; Разходи за  </w:t>
      </w:r>
      <w:proofErr w:type="spellStart"/>
      <w:r w:rsidRPr="00121F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обезценка</w:t>
      </w:r>
      <w:proofErr w:type="spellEnd"/>
      <w:r w:rsidRPr="00121F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вземания; Данъци и такси; Други разходи</w:t>
      </w:r>
      <w:r w:rsidRPr="00121F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се попълват съответните разходи за услугите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121F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оставяне на вода на потребителите,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21F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твеждане на отпадъчни води 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121F10">
        <w:rPr>
          <w:rFonts w:ascii="Times New Roman" w:eastAsia="Times New Roman" w:hAnsi="Times New Roman" w:cs="Times New Roman"/>
          <w:sz w:val="24"/>
          <w:szCs w:val="24"/>
          <w:lang w:eastAsia="bg-BG"/>
        </w:rPr>
        <w:t>речистване на отпадъчни води.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Когато ВиК дружеството продава вода на повече от един оператор приходите, респективно разходите се попълват общо на ред „</w:t>
      </w:r>
      <w:r w:rsidRPr="001E049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Приходи от услугата доставяне на вода за друг ВиК оператор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и „</w:t>
      </w:r>
      <w:r w:rsidRPr="001E049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 за услугата доставяне на вода за друг ВиК оператор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редове „Приходи</w:t>
      </w:r>
      <w:r w:rsidRPr="00E129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присъединяване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и „Разходи</w:t>
      </w:r>
      <w:r w:rsidRPr="00E129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присъединяване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посочват приходи/разходи отчетени в отделни сметки, съгласно сметкоплана на ЕСРО и включва административно технически разходи свързани с процеса на присъединяване към водоснабдителните и канализационни системи.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редове „</w:t>
      </w:r>
      <w:r w:rsidRPr="00F6688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Приходи от нерегулирана дейност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и „Разходи</w:t>
      </w:r>
      <w:r w:rsidRPr="00F668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нерегулирана дейност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посочват само данни свързани с нерегулираната дейност на дружеството.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 „Непризнати разходи“ се посочва разходи, които не се признават за целите на ценообразуването.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ред „Коригирани разходи“ </w:t>
      </w:r>
      <w:r w:rsidRPr="00277B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посочва различното отчитане на разходите в прилаганите счетоводни политики и сметкоплана, възприети в счетоводството на ВиК оператора спрямо определените за регулаторни цели. </w:t>
      </w:r>
    </w:p>
    <w:p w:rsidR="00BC1874" w:rsidRPr="0069750F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975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Приходите от начислени лихви от просрочени вземания да се начисляват ежемесечно и се посочват на съответния ред в ОПР. </w:t>
      </w:r>
    </w:p>
    <w:p w:rsidR="00BC1874" w:rsidRPr="00277B46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374A0E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74A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16</w:t>
      </w:r>
      <w:r w:rsidR="00B442E3" w:rsidRPr="00B442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74A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за паричните потоци</w:t>
      </w:r>
    </w:p>
    <w:p w:rsidR="00BC1874" w:rsidRPr="004673C6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Справката се попълва за цялото дружество.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14F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Постъпленията се посочват със знак "+" , а плащанията - със знак "-".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374A0E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74A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17</w:t>
      </w:r>
      <w:r w:rsidR="00B442E3" w:rsidRPr="00B442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74A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признатите годишни разходи</w:t>
      </w:r>
      <w:r w:rsidRPr="00374A0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Справката се попълва за цялото дружество, като р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азходите се посочват по икономически елементи за предходна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разчет по бизнес план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2C76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отчет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текущата (отчетна)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Колоните за регулирана дейност са резултати</w:t>
      </w:r>
      <w:r w:rsid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>вни, а данните се обобщават от С</w:t>
      </w:r>
      <w:r w:rsidRPr="00F524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правка </w:t>
      </w:r>
      <w:r w:rsidRPr="00F5245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№ 17.1.</w:t>
      </w:r>
      <w:r w:rsidRPr="000C64F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годишните разходи за регулираните услуги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В колона „Нерегулирана дейност“ се посочват единствено разходи свързани с  нерегулираната дейност на дружеството.</w:t>
      </w:r>
    </w:p>
    <w:p w:rsidR="00BC1874" w:rsidRPr="003920E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В колона „Непризнати разходи“ се посочват разходите, които не се признават за целите на ценообразуването</w:t>
      </w:r>
      <w:r w:rsidR="003C350E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съгласно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, </w:t>
      </w:r>
      <w:proofErr w:type="spellStart"/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</w:t>
      </w:r>
      <w:proofErr w:type="spellEnd"/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нструкции за попълване на годишните отчетни справки за целите на регулаторното счетоводство на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ВиК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операторите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приети 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с решение по т. 1 от Протокол №252 от 29.11.2017 г., с начална дата на прилагане на измененията 01.</w:t>
      </w:r>
      <w:proofErr w:type="spellStart"/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proofErr w:type="spellEnd"/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.2018 г.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(Инструкции ЕСРО), 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а именно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финансови разходи</w:t>
      </w:r>
      <w:r w:rsidRPr="003920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 за данък върху печалбата и разходи за бъдещи периоди, които са част от отчета за доходите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разходи за загуби от </w:t>
      </w:r>
      <w:proofErr w:type="spellStart"/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обезценки</w:t>
      </w:r>
      <w:proofErr w:type="spellEnd"/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текущи разходи за начислени провизии по смисъла на чл. 38 и чл. 39 от Закона за корпоративното подоходно облагане (ЗКПО)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текущи разходи или задължения за намаляване на отчетната стойност на стоково-материалните запаси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санкции и/или глоби, наложени от държавни органи или от комисията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санкции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наказателни такси за депониране на утайки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*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отчисления по чл.64 от ЗУО 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вкл. съгл. становище на МОСВ  с писмо №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48-00-1079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/24.02.2015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до КЕВР: съгласно йерархията на управление на утайки „депонирането на утайки от ГПСОВ се счита за най-неприемливо решение не само от екологична, но и от финансова гледна точка“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 за лихви за забавяне, неустойки и други плащания, свързани с неизпълнение по сключени договори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съдебни разходи по загубени съдебни дела за неизпълнение на договорни и др. задължения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доставчици, институции,др.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, нанесени материални щети по вина на ВиК оператора и др.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 за дарение</w:t>
      </w:r>
      <w:r w:rsidRPr="003920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неизползвани отпуски</w:t>
      </w:r>
      <w:r w:rsidRPr="003920E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представителни разходи и начисления данък върху тях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3C350E" w:rsidRPr="003920E7" w:rsidRDefault="003C350E" w:rsidP="003C350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разходите за вноски (премии) за допълнително доброволно осигуряване, за доброволно здравно осигуряване и за застраховки "Живот", както  и разходите за начислен данък върху тях.</w:t>
      </w:r>
    </w:p>
    <w:p w:rsidR="00BC1874" w:rsidRPr="003920E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За целите на постигане на съответствие между ОПР за регулаторни цели и ОПР от </w:t>
      </w:r>
      <w:proofErr w:type="spellStart"/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одитираните</w:t>
      </w:r>
      <w:proofErr w:type="spellEnd"/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годишни финансови отчети на дружеството, в колона „Коригирани разходи“ се посочват разликите от отчитането на разходите в прилаганите счетоводни политики и </w:t>
      </w:r>
      <w:proofErr w:type="spellStart"/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сметкоплани</w:t>
      </w:r>
      <w:proofErr w:type="spellEnd"/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, възприети в счетоводството на ВиК оператора спрямо определените за регулаторни цели.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7865B0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Общата сума на разходите по икономически елементи,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865B0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приспаднати разходи за амортизации на публични активи, следва да съответства на ОПР на дружеството за отчетната година</w:t>
      </w:r>
      <w:r w:rsidRPr="007865B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</w:p>
    <w:p w:rsidR="00BC1874" w:rsidRP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отчетната година се посочват данни за общата сума на преките разходи (ред 85) и разходите за административна и спомагателна дейност (ред 86). Преките разходи по услуги и и системи следва да съответстват на данните от справка №</w:t>
      </w:r>
      <w:r w:rsidR="00DB2D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17.2. </w:t>
      </w:r>
      <w:r w:rsidRPr="007932D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Разпределение на разходите по услуги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32DA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колона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B</w:t>
      </w:r>
      <w:r w:rsidRPr="007932DA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BC187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Pr="00854EC5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854EC5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FC092B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C0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17.1.</w:t>
      </w:r>
      <w:r w:rsidR="00B442E3" w:rsidRPr="00B442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годишните разходи за регулираните услуги</w:t>
      </w:r>
      <w:r w:rsidRPr="00FC0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Справката се попълва за цялата регулирана дейност (всички ВиК услуги и системи) на дружеството. </w:t>
      </w:r>
    </w:p>
    <w:p w:rsidR="00BC1874" w:rsidRPr="003920E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Разходите за регулирани услуги се посочват по икономически елементи за предходната година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разчета по бизнес план  и отчет за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текущата (отчетна)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година. </w:t>
      </w:r>
    </w:p>
    <w:p w:rsidR="00BC1874" w:rsidRPr="00FC092B" w:rsidRDefault="00BC1874" w:rsidP="003C350E">
      <w:pPr>
        <w:widowControl w:val="0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lastRenderedPageBreak/>
        <w:t xml:space="preserve">В разходите за регулирана дейност не следва да се включва разходи </w:t>
      </w:r>
      <w:r w:rsidRPr="00875133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под прага на същественост съгласно счетоводната политика на дружеството, както и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за </w:t>
      </w:r>
      <w:r w:rsidRPr="00875133">
        <w:rPr>
          <w:rFonts w:ascii="Times New Roman" w:eastAsia="Calibri" w:hAnsi="Times New Roman" w:cs="Times New Roman"/>
          <w:sz w:val="24"/>
          <w:szCs w:val="24"/>
          <w:lang w:eastAsia="x-none"/>
        </w:rPr>
        <w:t>монтаж на водомери</w:t>
      </w:r>
      <w:r w:rsidR="003C350E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 СВО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. Същите за регулаторни цели са капиталови разходи</w:t>
      </w:r>
      <w:r w:rsidRPr="00875133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и се отчитат в Инвестиционната програма.</w:t>
      </w:r>
    </w:p>
    <w:p w:rsidR="00BC1874" w:rsidRDefault="00BC1874" w:rsidP="003C350E">
      <w:pPr>
        <w:widowControl w:val="0"/>
        <w:tabs>
          <w:tab w:val="left" w:pos="720"/>
          <w:tab w:val="left" w:pos="162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C1874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6C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17.2. </w:t>
      </w:r>
      <w:r w:rsidR="00B25521" w:rsidRPr="00B255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Разпределение на преки разходи и разходи за административна и спомагателна д</w:t>
      </w:r>
      <w:r w:rsidR="00B255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ейност по услуги за дружеството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справката се попълват разходите за регулирана ( в т.ч. всички ВиК услуги и системи предоставяни/експлоатирани от ВиК оператора) и нерегулирана дейност на дружеството. </w:t>
      </w:r>
    </w:p>
    <w:p w:rsidR="003C350E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4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Разпределението на разходите за административна и спомагателна дейност между регулирана и нерегулирана дейност се извършва в съответствие с </w:t>
      </w:r>
      <w:r w:rsidR="003C350E" w:rsidRPr="00D344F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1 към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Инструкции ЕСРО</w:t>
      </w:r>
      <w:r w:rsidR="003C350E" w:rsidRPr="00D344F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tabs>
          <w:tab w:val="left" w:pos="720"/>
          <w:tab w:val="left" w:pos="162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60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Разпределението на отделените за регулирана дейност разходи за административна и спомагателна дейност между регулираните услуги и системи се извършва в съответствие с Приложение 1 към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Инструкции ЕСРО</w:t>
      </w:r>
      <w:r w:rsidRPr="0062606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справката се посочват всички видове категории разходи</w:t>
      </w:r>
      <w:r w:rsidRPr="00A31E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административна и спомагателна дейност (АСД)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присъщи за ВиК оператора. </w:t>
      </w:r>
      <w:r w:rsidRPr="00A31E49">
        <w:rPr>
          <w:rFonts w:ascii="Times New Roman" w:eastAsia="Times New Roman" w:hAnsi="Times New Roman" w:cs="Times New Roman"/>
          <w:sz w:val="24"/>
          <w:szCs w:val="24"/>
          <w:lang w:eastAsia="bg-BG"/>
        </w:rPr>
        <w:t>Сумата от всички категории следва да дава общите разходи за административна и спомагателна дейност, извършени от дружеството.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lang w:eastAsia="da-DK"/>
        </w:rPr>
      </w:pPr>
      <w:r w:rsidRPr="00EF3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текстовата част на отчетния доклад</w:t>
      </w:r>
      <w:r w:rsidRPr="00EF3C1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F3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за изпълнение на бизнес план за развитие на дейността на ВиК операторите </w:t>
      </w:r>
      <w:r w:rsidRPr="00EF3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следва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 опише</w:t>
      </w:r>
      <w:r w:rsidRPr="00EF3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EF3C10">
        <w:rPr>
          <w:rFonts w:ascii="Times New Roman" w:eastAsia="Calibri" w:hAnsi="Times New Roman" w:cs="Times New Roman"/>
          <w:sz w:val="24"/>
          <w:szCs w:val="24"/>
        </w:rPr>
        <w:t>начина на разпределение и</w:t>
      </w:r>
      <w:r w:rsidRPr="00EF3C1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F3C10">
        <w:rPr>
          <w:rFonts w:ascii="Times New Roman" w:eastAsia="Times New Roman" w:hAnsi="Times New Roman" w:cs="Times New Roman"/>
          <w:sz w:val="24"/>
          <w:lang w:eastAsia="da-DK"/>
        </w:rPr>
        <w:t>коефициенти на разпределение</w:t>
      </w:r>
      <w:r w:rsidRPr="00EF3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F3C10">
        <w:rPr>
          <w:rFonts w:ascii="Times New Roman" w:eastAsia="Times New Roman" w:hAnsi="Times New Roman" w:cs="Times New Roman"/>
          <w:sz w:val="24"/>
          <w:lang w:eastAsia="da-DK"/>
        </w:rPr>
        <w:t>на разходи за административна и спомагателна дейност и разпределение на разходи за амортизации на дълготрайни активи за административна и спомагателна дейност по услуги и системи</w:t>
      </w:r>
      <w:r>
        <w:rPr>
          <w:rFonts w:ascii="Times New Roman" w:eastAsia="Times New Roman" w:hAnsi="Times New Roman" w:cs="Times New Roman"/>
          <w:sz w:val="24"/>
          <w:lang w:eastAsia="da-DK"/>
        </w:rPr>
        <w:t>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B442E3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18.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и разчет на увеличението и намалението на признатите годишни разходи</w:t>
      </w:r>
    </w:p>
    <w:p w:rsidR="00887C4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Справката е резултативна, данните се обобщават от </w:t>
      </w:r>
      <w:r w:rsid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правка № 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17.1. </w:t>
      </w:r>
      <w:r w:rsidR="003C350E" w:rsidRPr="00DB2DD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годишните разходи за регулираните услуги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C350E" w:rsidRPr="003C350E" w:rsidRDefault="003C350E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87C44" w:rsidRPr="00F039E2" w:rsidRDefault="00887C4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18</w:t>
      </w:r>
      <w:r w:rsidRPr="003920E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="00B25521" w:rsidRPr="00B255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Допълнителни разходи, включени в коефициент </w:t>
      </w:r>
      <w:proofErr w:type="spellStart"/>
      <w:r w:rsidR="00B25521" w:rsidRPr="00B255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Qр</w:t>
      </w:r>
      <w:proofErr w:type="spellEnd"/>
      <w:r w:rsidR="00B25521" w:rsidRPr="00B2552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за извършването на нови дейности и/или експлоатация на нови активи </w:t>
      </w:r>
    </w:p>
    <w:p w:rsidR="00887C44" w:rsidRPr="0015505F" w:rsidRDefault="00887C44" w:rsidP="003C350E">
      <w:pPr>
        <w:widowControl w:val="0"/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F3C1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В с</w:t>
      </w:r>
      <w:r w:rsidRPr="0015505F">
        <w:rPr>
          <w:rFonts w:ascii="Times New Roman" w:eastAsia="MS Mincho" w:hAnsi="Times New Roman" w:cs="Times New Roman"/>
          <w:sz w:val="24"/>
          <w:szCs w:val="24"/>
        </w:rPr>
        <w:t xml:space="preserve">правката се </w:t>
      </w:r>
      <w:r>
        <w:rPr>
          <w:rFonts w:ascii="Times New Roman" w:eastAsia="MS Mincho" w:hAnsi="Times New Roman" w:cs="Times New Roman"/>
          <w:sz w:val="24"/>
          <w:szCs w:val="24"/>
        </w:rPr>
        <w:t>посочват всички преки разходи</w:t>
      </w:r>
      <w:r w:rsidRPr="0015505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 всеки нов</w:t>
      </w:r>
      <w:r w:rsidRPr="0015505F">
        <w:rPr>
          <w:rFonts w:ascii="Times New Roman" w:eastAsia="MS Mincho" w:hAnsi="Times New Roman" w:cs="Times New Roman"/>
          <w:sz w:val="24"/>
          <w:szCs w:val="24"/>
        </w:rPr>
        <w:t xml:space="preserve"> обекти и/или дейности, за които се формират допълнителни разходи, включени в коефициент </w:t>
      </w:r>
      <w:proofErr w:type="spellStart"/>
      <w:r w:rsidRPr="0015505F">
        <w:rPr>
          <w:rFonts w:ascii="Times New Roman" w:eastAsia="MS Mincho" w:hAnsi="Times New Roman" w:cs="Times New Roman"/>
          <w:sz w:val="24"/>
          <w:szCs w:val="24"/>
        </w:rPr>
        <w:t>Qр</w:t>
      </w:r>
      <w:proofErr w:type="spellEnd"/>
      <w:r w:rsidRPr="0015505F">
        <w:rPr>
          <w:rFonts w:ascii="Times New Roman" w:eastAsia="MS Mincho" w:hAnsi="Times New Roman" w:cs="Times New Roman"/>
          <w:sz w:val="24"/>
          <w:szCs w:val="24"/>
        </w:rPr>
        <w:t>, съгласно  решението за одобряване на бизнес плана.</w:t>
      </w:r>
    </w:p>
    <w:p w:rsidR="00887C44" w:rsidRPr="0015505F" w:rsidRDefault="00887C44" w:rsidP="003C350E">
      <w:pPr>
        <w:widowControl w:val="0"/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Към разходите за нови обекти </w:t>
      </w:r>
      <w:r w:rsidRPr="0015505F">
        <w:rPr>
          <w:rFonts w:ascii="Times New Roman" w:eastAsia="MS Mincho" w:hAnsi="Times New Roman" w:cs="Times New Roman"/>
          <w:sz w:val="24"/>
          <w:szCs w:val="24"/>
        </w:rPr>
        <w:t xml:space="preserve">и/или дейности, за които се формират допълнителни разходи, включени в коефициент </w:t>
      </w:r>
      <w:proofErr w:type="spellStart"/>
      <w:r w:rsidRPr="0015505F">
        <w:rPr>
          <w:rFonts w:ascii="Times New Roman" w:eastAsia="MS Mincho" w:hAnsi="Times New Roman" w:cs="Times New Roman"/>
          <w:sz w:val="24"/>
          <w:szCs w:val="24"/>
        </w:rPr>
        <w:t>Qр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не се включват разходи за амортизации.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461214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18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19.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и разчет на инвестиционната програма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Справката</w:t>
      </w:r>
      <w:r w:rsidRPr="003E5A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попълва за регулирана и нерегулирана дейност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за регулирана дейност се посочват данни само за ВС Основна.</w:t>
      </w:r>
    </w:p>
    <w:p w:rsidR="00BC1874" w:rsidRPr="003E5ACB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5AC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Стойността на инвестиционната програма следва да съответства на дебитния оборот на сметка 207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F0F2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Активи в процес на изграждане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сумите на всички инвестиции по водоснабдителни системи и услуги се калкулират в колона АВ.</w:t>
      </w:r>
    </w:p>
    <w:p w:rsidR="00BC1874" w:rsidRPr="00420F5C" w:rsidRDefault="00BC1874" w:rsidP="003C350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9609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Отчитането на Инвестициите се извършва в съответствие с дефинициите за инвестиция/ капиталов разход при </w:t>
      </w:r>
      <w:r w:rsidRPr="009609F4">
        <w:rPr>
          <w:rFonts w:ascii="Times New Roman" w:hAnsi="Times New Roman"/>
          <w:noProof/>
          <w:sz w:val="24"/>
          <w:szCs w:val="24"/>
        </w:rPr>
        <w:t xml:space="preserve">спазване изискванията на т. 5 </w:t>
      </w:r>
      <w:r w:rsidRPr="009609F4">
        <w:rPr>
          <w:rFonts w:ascii="Times New Roman" w:hAnsi="Times New Roman"/>
          <w:i/>
          <w:noProof/>
          <w:sz w:val="24"/>
          <w:szCs w:val="24"/>
        </w:rPr>
        <w:t xml:space="preserve">Принципи за коректно отчитане на ремонти и инвестиции </w:t>
      </w:r>
      <w:r w:rsidRPr="009609F4">
        <w:rPr>
          <w:rFonts w:ascii="Times New Roman" w:hAnsi="Times New Roman"/>
          <w:noProof/>
          <w:sz w:val="24"/>
          <w:szCs w:val="24"/>
        </w:rPr>
        <w:t xml:space="preserve">съгласно Приложение 2: </w:t>
      </w:r>
      <w:r w:rsidRPr="009609F4">
        <w:rPr>
          <w:rFonts w:ascii="Times New Roman" w:hAnsi="Times New Roman"/>
          <w:i/>
          <w:noProof/>
          <w:sz w:val="24"/>
          <w:szCs w:val="24"/>
        </w:rPr>
        <w:t xml:space="preserve">Дифиниции при отчитане на инвестициите за регулаторни цели </w:t>
      </w:r>
      <w:r w:rsidRPr="009609F4">
        <w:rPr>
          <w:rFonts w:ascii="Times New Roman" w:hAnsi="Times New Roman"/>
          <w:noProof/>
          <w:sz w:val="24"/>
          <w:szCs w:val="24"/>
        </w:rPr>
        <w:t xml:space="preserve">към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Инструкции ЕСРО</w:t>
      </w:r>
      <w:r w:rsidRPr="009609F4">
        <w:rPr>
          <w:rFonts w:ascii="Times New Roman" w:hAnsi="Times New Roman"/>
          <w:sz w:val="24"/>
          <w:szCs w:val="24"/>
        </w:rPr>
        <w:t>.</w:t>
      </w:r>
    </w:p>
    <w:p w:rsidR="003D7194" w:rsidRPr="002844E7" w:rsidRDefault="003D719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K</w:t>
      </w:r>
      <w:proofErr w:type="spellStart"/>
      <w:r w:rsidR="00BC1874" w:rsidRPr="003E5ACB">
        <w:rPr>
          <w:rFonts w:ascii="Times New Roman" w:eastAsia="Times New Roman" w:hAnsi="Times New Roman" w:cs="Times New Roman"/>
          <w:sz w:val="24"/>
          <w:szCs w:val="24"/>
          <w:lang w:eastAsia="bg-BG"/>
        </w:rPr>
        <w:t>олона</w:t>
      </w:r>
      <w:proofErr w:type="spellEnd"/>
      <w:r w:rsidR="00BC1874" w:rsidRPr="003E5AC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</w:t>
      </w:r>
      <w:r w:rsidR="00BC1874" w:rsidRPr="006D458C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Планирани и осъществени инвестиции, в т.ч. и по ОПОС</w:t>
      </w:r>
      <w:r w:rsidR="00BC1874" w:rsidRPr="003E5ACB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e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резултативна и не се попълва.</w:t>
      </w:r>
    </w:p>
    <w:p w:rsidR="00BC1874" w:rsidRPr="00CC54F0" w:rsidRDefault="00F079F8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колона „Източник на финансиране”</w:t>
      </w:r>
      <w:r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„Собствени средства“</w:t>
      </w:r>
      <w:r w:rsidR="00BC1874" w:rsidRPr="00683E8F">
        <w:rPr>
          <w:rFonts w:ascii="Times New Roman" w:eastAsia="Times New Roman" w:hAnsi="Times New Roman" w:cs="Times New Roman"/>
          <w:sz w:val="24"/>
          <w:szCs w:val="24"/>
          <w:lang w:eastAsia="bg-BG"/>
        </w:rPr>
        <w:t>, се посочват всички изпълнени през отчетната година инвестиции</w:t>
      </w:r>
      <w:r w:rsidR="00504C78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финансирани със средства на дружеството</w:t>
      </w:r>
      <w:r w:rsidR="006B3716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</w:t>
      </w:r>
      <w:r w:rsidR="006B3716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т.ч. 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Оперативна програма </w:t>
      </w:r>
      <w:r w:rsidR="003C350E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BC1874" w:rsidRPr="00683E8F">
        <w:rPr>
          <w:rFonts w:ascii="Times New Roman" w:eastAsia="Times New Roman" w:hAnsi="Times New Roman" w:cs="Times New Roman"/>
          <w:sz w:val="24"/>
          <w:szCs w:val="24"/>
          <w:lang w:eastAsia="bg-BG"/>
        </w:rPr>
        <w:t>Околна среда</w:t>
      </w:r>
      <w:r w:rsidR="003C350E" w:rsidRPr="00683E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2014-2020“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3C350E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F079F8" w:rsidRPr="002844E7" w:rsidRDefault="00F079F8" w:rsidP="00F079F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колона „Източник на финансиране”</w:t>
      </w:r>
      <w:r w:rsidRPr="002844E7">
        <w:rPr>
          <w:sz w:val="24"/>
          <w:szCs w:val="24"/>
        </w:rPr>
        <w:t xml:space="preserve"> 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„Заеми за изграждане на публични активи”, се </w:t>
      </w:r>
      <w:r w:rsidR="00504C78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посочват всички изпълнени през отчетната година инвестиции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публични активи, финансирани чрез заем.</w:t>
      </w:r>
    </w:p>
    <w:p w:rsidR="00BC1874" w:rsidRPr="00683E8F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колона „Източник на финансиране”</w:t>
      </w:r>
      <w:r w:rsidRPr="00683E8F">
        <w:rPr>
          <w:sz w:val="24"/>
          <w:szCs w:val="24"/>
        </w:rPr>
        <w:t xml:space="preserve"> </w:t>
      </w:r>
      <w:r w:rsidRPr="00683E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„Заеми за собствени ДА в т.ч и Финансов лизинг”, се </w:t>
      </w:r>
      <w:r w:rsidR="00504C78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посочват всички изпълнени през отчетната година</w:t>
      </w:r>
      <w:r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инвестиции</w:t>
      </w:r>
      <w:r w:rsidRPr="00683E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собствени активи, </w:t>
      </w:r>
      <w:r w:rsidR="00F079F8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финансирани</w:t>
      </w:r>
      <w:r w:rsidR="00F079F8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заем.</w:t>
      </w:r>
    </w:p>
    <w:p w:rsidR="00504C78" w:rsidRPr="002844E7" w:rsidRDefault="00504C78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олона „в т.ч. ОПОС“ „Обща стойност на вложените средства разчет/отчет” (колона 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N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е резултативна и не се попълва.</w:t>
      </w:r>
    </w:p>
    <w:p w:rsidR="00BC1874" w:rsidRDefault="00504C78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колона „в т.ч. ОПОС“ „</w:t>
      </w:r>
      <w:proofErr w:type="spellStart"/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Съфинансиране</w:t>
      </w:r>
      <w:proofErr w:type="spellEnd"/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 от собствени средства</w:t>
      </w:r>
      <w:r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  <w:r w:rsidR="00930A7C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посочва</w:t>
      </w:r>
      <w:r w:rsidR="00930A7C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изпълнени през отчетната година 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инвестиции по ОПОС</w:t>
      </w:r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930A7C" w:rsidRPr="00CC54F0">
        <w:t xml:space="preserve"> </w:t>
      </w:r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финансирани със средства на дружеството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 случай че средствата за тези инвестиции изцяло или частично са осигурени чрез външно финансиране, </w:t>
      </w:r>
      <w:r w:rsidR="00930A7C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същите</w:t>
      </w:r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посочва</w:t>
      </w:r>
      <w:r w:rsidR="00930A7C" w:rsidRPr="002844E7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колона „в т.ч. ОПОС“ „</w:t>
      </w:r>
      <w:proofErr w:type="spellStart"/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Съфинансиране</w:t>
      </w:r>
      <w:proofErr w:type="spellEnd"/>
      <w:r w:rsidR="00930A7C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 от външно финансиране, заем</w:t>
      </w:r>
      <w:r w:rsidR="00BC1874" w:rsidRPr="00CC54F0">
        <w:rPr>
          <w:rFonts w:ascii="Times New Roman" w:eastAsia="Times New Roman" w:hAnsi="Times New Roman" w:cs="Times New Roman"/>
          <w:sz w:val="24"/>
          <w:szCs w:val="24"/>
          <w:lang w:eastAsia="bg-BG"/>
        </w:rPr>
        <w:t>“.</w:t>
      </w:r>
      <w:r w:rsidR="00BC18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C1874" w:rsidRPr="005F0F2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10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Инвестициите в „</w:t>
      </w:r>
      <w:r w:rsidRPr="005F0F27">
        <w:rPr>
          <w:rFonts w:ascii="Times New Roman" w:eastAsia="Times New Roman" w:hAnsi="Times New Roman" w:cs="Times New Roman"/>
          <w:sz w:val="24"/>
          <w:szCs w:val="24"/>
          <w:lang w:eastAsia="bg-BG"/>
        </w:rPr>
        <w:t>Тежкотоварни автомобили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“; „</w:t>
      </w:r>
      <w:r w:rsidRPr="005F0F27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Строителна и специализирана механизация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“; „</w:t>
      </w:r>
      <w:r w:rsidRPr="005F0F27">
        <w:rPr>
          <w:rFonts w:ascii="Times New Roman" w:eastAsia="Times New Roman" w:hAnsi="Times New Roman" w:cs="Times New Roman"/>
          <w:sz w:val="24"/>
          <w:szCs w:val="24"/>
          <w:lang w:eastAsia="bg-BG"/>
        </w:rPr>
        <w:t>Друго специализирано оборудване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”, които са общи за регулираната дейност се отчитат в съответните направления в раздел </w:t>
      </w:r>
      <w:r w:rsidR="006B3716" w:rsidRPr="006B3716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036E29">
        <w:rPr>
          <w:rFonts w:ascii="Times New Roman" w:eastAsia="Times New Roman" w:hAnsi="Times New Roman" w:cs="Times New Roman"/>
          <w:sz w:val="24"/>
          <w:szCs w:val="24"/>
          <w:lang w:eastAsia="bg-BG"/>
        </w:rPr>
        <w:t>Транспорт, администрация и ИТ</w:t>
      </w:r>
      <w:r w:rsidR="006B3716" w:rsidRPr="006B37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Разходите за активи под прага на същественост според счетоводната политика на дружеството, за регулаторни цели се отчитат като капиталов разход в Инвестиционната програма в направление „</w:t>
      </w:r>
      <w:r w:rsidRPr="00A7760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Стопански инвентар и офис оборудване</w:t>
      </w:r>
      <w:r w:rsidR="006B37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C1874" w:rsidRPr="00104AED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Pr="006D657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азходите за монтаж на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водомери на СВО (</w:t>
      </w:r>
      <w:r w:rsidRPr="006D657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приходни водомери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регулаторни цели се отчитат, като капиталови разходи в Инвестиционната програма в направления „Приходни водомери“ или „Приходни водомери с дистанционно отчитане“.</w:t>
      </w:r>
    </w:p>
    <w:p w:rsidR="00BC1874" w:rsidRPr="003E5ACB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326C07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18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19. 1.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и разчет на инвестиционната програма за други ВС</w:t>
      </w:r>
    </w:p>
    <w:p w:rsidR="00BC1874" w:rsidRPr="00AE1423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В с</w:t>
      </w:r>
      <w:r w:rsidRPr="00DD26CD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правка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та</w:t>
      </w:r>
      <w:r w:rsidRPr="00DD26CD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 се 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отчитат инвестиции </w:t>
      </w:r>
      <w:r w:rsidRPr="00DD26CD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за всички 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други </w:t>
      </w:r>
      <w:r w:rsidRPr="00DD26CD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ВС</w:t>
      </w:r>
      <w:r w:rsidRPr="00AE1423">
        <w:rPr>
          <w:sz w:val="24"/>
          <w:szCs w:val="24"/>
        </w:rPr>
        <w:t xml:space="preserve"> 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различни от ВС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О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сновна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– ВС 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„Доставяне на вода с непитейни качества” 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ВС </w:t>
      </w:r>
      <w:r w:rsidR="00DB2DD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AE1423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Доставяне на в</w:t>
      </w:r>
      <w:r w:rsidR="00DB2DD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ода за друг ВиК оператор“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За ВС </w:t>
      </w:r>
      <w:r w:rsidR="00CC54F0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Доставяне на вода с непитейни качества</w:t>
      </w:r>
      <w:r w:rsidR="00CC54F0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не следва да се отчитат инвестиции по ОПОС.  В тази връзка колона „</w:t>
      </w:r>
      <w:r w:rsidRPr="007318B9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Източник на финансиране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“ „</w:t>
      </w:r>
      <w:r w:rsidRPr="007318B9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в т.ч. ОПОС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“ </w:t>
      </w:r>
      <w:r w:rsidR="00F319A8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се попълват обобщени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данни за инвестиции по ОПОС единствено за системите за доставяне на вода на друг ВиК оператор. </w:t>
      </w:r>
    </w:p>
    <w:p w:rsidR="00BC1874" w:rsidRPr="00AE1423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BC1874" w:rsidRPr="00E3174A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C18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20</w:t>
      </w:r>
      <w:r w:rsidR="00B442E3" w:rsidRPr="00B442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C18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амортизационния план на дълготрайните активи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Справката се попълва за цялото дружество.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В справката се попълват само 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колон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и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„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Разчет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, като се посочват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данните за дълготрайните активи от одобрения бизнес план за отчетната година.</w:t>
      </w:r>
      <w:r w:rsidRPr="003920E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bCs/>
          <w:iCs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Колони „Отчет“ са резултати</w:t>
      </w:r>
      <w:r w:rsidR="002155CF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вни, а данните се обобщават от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правки № 20.1.1 – 20.1.5. </w:t>
      </w:r>
      <w:r w:rsidRPr="0048045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Дълготрайни активи по услуги и системи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. </w:t>
      </w:r>
    </w:p>
    <w:p w:rsidR="00BC1874" w:rsidRPr="004673C6" w:rsidRDefault="00BC1874" w:rsidP="003C350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BC1874" w:rsidRPr="0065388F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38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20.1.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</w:t>
      </w:r>
      <w:r w:rsidRPr="006538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bg-BG"/>
        </w:rPr>
        <w:t>Справката в частта за регулирана дейност е резултативна,</w:t>
      </w:r>
      <w:r w:rsidRPr="00036AD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 w:rsidR="002155CF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а данните се обобщават от 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правки № 20.1.1 – 20.1.5. </w:t>
      </w:r>
      <w:r w:rsidRPr="0048045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Дълготрайни активи по услуги и системи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bg-BG"/>
        </w:rPr>
        <w:t>В колоните за „Нерегулирана дейност“ се посочват данни за дълготрайните активите за нерегулираната дейност.</w:t>
      </w:r>
    </w:p>
    <w:p w:rsidR="00BC1874" w:rsidRPr="003920E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колона „Корекции и </w:t>
      </w:r>
      <w:proofErr w:type="spellStart"/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рекласификации</w:t>
      </w:r>
      <w:proofErr w:type="spellEnd"/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следва да се посочи стойността на активите, които:</w:t>
      </w:r>
    </w:p>
    <w:p w:rsidR="00BC1874" w:rsidRPr="003920E7" w:rsidRDefault="00BC1874" w:rsidP="003C350E">
      <w:pPr>
        <w:widowControl w:val="0"/>
        <w:numPr>
          <w:ilvl w:val="0"/>
          <w:numId w:val="3"/>
        </w:numPr>
        <w:tabs>
          <w:tab w:val="left" w:pos="1701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регулаторните изисквания се признават като активи, а според счетоводна политика на дружеството не се признават или обратно. Разликите следва да се пояснят в текстовата част на отчета.</w:t>
      </w:r>
    </w:p>
    <w:p w:rsidR="00BC1874" w:rsidRDefault="00BC1874" w:rsidP="003C350E">
      <w:pPr>
        <w:widowControl w:val="0"/>
        <w:numPr>
          <w:ilvl w:val="0"/>
          <w:numId w:val="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09" w:right="-1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счетоводно се отчитат като собствени активи, а съгласно регулаторните изисквания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следва да се отчитат като публични.</w:t>
      </w:r>
    </w:p>
    <w:p w:rsidR="00BC1874" w:rsidRPr="00BE2F2E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2F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Стойността на активите след извършените корекции и </w:t>
      </w:r>
      <w:proofErr w:type="spellStart"/>
      <w:r w:rsidRPr="00BE2F2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рекласификации</w:t>
      </w:r>
      <w:proofErr w:type="spellEnd"/>
      <w:r w:rsidRPr="00BE2F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следва да съответства на Баланса на дружеството от годишния финансов отчет, а общата стойност на публичните активи следва да съответства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задбалансовия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E2F2E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регистъра на публични активи, поддържан от ВиК оператора.</w:t>
      </w:r>
    </w:p>
    <w:p w:rsidR="00BC1874" w:rsidRPr="004673C6" w:rsidRDefault="00BC1874" w:rsidP="003C350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D365A9" w:rsidRDefault="00BC1874" w:rsidP="003C350E">
      <w:pPr>
        <w:widowControl w:val="0"/>
        <w:tabs>
          <w:tab w:val="left" w:pos="1560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20.1.</w:t>
      </w:r>
      <w:proofErr w:type="spellStart"/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proofErr w:type="spellEnd"/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 за услугата доставяне на вода на потребителите</w:t>
      </w:r>
    </w:p>
    <w:p w:rsidR="00BC1874" w:rsidRPr="00D365A9" w:rsidRDefault="00BC1874" w:rsidP="003C350E">
      <w:pPr>
        <w:widowControl w:val="0"/>
        <w:tabs>
          <w:tab w:val="left" w:pos="1560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20.1.2. </w:t>
      </w: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 за услугата отвеждане на отпадъчни води</w:t>
      </w:r>
    </w:p>
    <w:p w:rsidR="00BC1874" w:rsidRPr="00D365A9" w:rsidRDefault="00BC1874" w:rsidP="003C350E">
      <w:pPr>
        <w:widowControl w:val="0"/>
        <w:tabs>
          <w:tab w:val="left" w:pos="1560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20.1.3.</w:t>
      </w: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 за услугата пречистване на отпадъчни води</w:t>
      </w:r>
    </w:p>
    <w:p w:rsidR="00BC1874" w:rsidRPr="00D365A9" w:rsidRDefault="00BC1874" w:rsidP="003C350E">
      <w:pPr>
        <w:widowControl w:val="0"/>
        <w:tabs>
          <w:tab w:val="left" w:pos="1560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20.1.4. </w:t>
      </w: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 за услугата доставяне на вода с непитейни качества</w:t>
      </w:r>
    </w:p>
    <w:p w:rsidR="00BC1874" w:rsidRPr="00D365A9" w:rsidRDefault="00BC1874" w:rsidP="003C350E">
      <w:pPr>
        <w:widowControl w:val="0"/>
        <w:tabs>
          <w:tab w:val="left" w:pos="1560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Справка № 20.1.5. </w:t>
      </w:r>
      <w:r w:rsidRPr="00D365A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Дълготрайни активи за услугата доставяне на вода на друг ВиК оператор</w:t>
      </w:r>
    </w:p>
    <w:p w:rsidR="00BC1874" w:rsidRPr="003920E7" w:rsidRDefault="00BC1874" w:rsidP="003C350E">
      <w:pPr>
        <w:widowControl w:val="0"/>
        <w:tabs>
          <w:tab w:val="left" w:pos="720"/>
          <w:tab w:val="left" w:pos="162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350E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Отчитането на Дълготрайните активи се извършва в съответствие с дефинициите за инвестиция</w:t>
      </w:r>
      <w:r w:rsidRPr="00467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</w:t>
      </w: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>капиталов разход, определени от КЕВ</w:t>
      </w:r>
      <w:r w:rsidRPr="00C53312">
        <w:rPr>
          <w:rFonts w:ascii="Times New Roman" w:eastAsia="Times New Roman" w:hAnsi="Times New Roman" w:cs="Times New Roman"/>
          <w:sz w:val="24"/>
          <w:szCs w:val="24"/>
          <w:lang w:eastAsia="bg-BG"/>
        </w:rPr>
        <w:t>Р,съгл.</w:t>
      </w:r>
      <w:r w:rsidR="00DB2D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5331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533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Инструкции ЕСРО.</w:t>
      </w:r>
    </w:p>
    <w:p w:rsidR="00BC1874" w:rsidRPr="00740535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колона „Постъпилите през периода” в редовете на сметка 207 Ак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тиви в процес на изграждане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(ред 34 за ДМА и ред 39 за ДНМА) се попълва стойността за извършените инвестиции през отчетната година, в съответствие с дебита на сметка 207. Общата стойност на колона „Постъпилите през периода” за всяка услуга и система следва да съ</w:t>
      </w:r>
      <w:r w:rsid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ответства на колона „Отчет“ на С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правка № 19 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Отчет и разчет на инвестиционната програма, 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респ.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2155CF" w:rsidRP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</w:t>
      </w:r>
      <w:r w:rsidR="002155C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19.1 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и разчет на инвестиционната програма за други ВС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BC1874" w:rsidRPr="00740535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колона „Трансфери“ по групи активи за собствени ДА и публични ДА, изградени със собствени средства, се попълва информация за </w:t>
      </w:r>
      <w:proofErr w:type="spellStart"/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заприходените</w:t>
      </w:r>
      <w:proofErr w:type="spellEnd"/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дълготрайни активи от сметка 207 Ак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тиви в процес на изграждане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(кредитния оборот на см.207) към групи 20 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ДМА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21</w:t>
      </w:r>
      <w:r w:rsidRPr="0074053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ДНМА</w:t>
      </w:r>
      <w:r w:rsidRPr="007405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(дебитния оборот на см.20 и см.21). Редовете за сметка 207 (ред 34 за ДМА и ред 39 за ДНМА) са резултативни и сумират общата стойност на заведените собствени ДА и публични ДА, изградени със собствени средства, посочена със знак „минус“. Предоставените през годината за експлоатация и поддръжка публични ДА се посочват в колона „Трансфери“ редове от 63 до 83.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27B1F">
        <w:rPr>
          <w:rFonts w:ascii="Times New Roman" w:hAnsi="Times New Roman"/>
          <w:sz w:val="24"/>
          <w:szCs w:val="24"/>
        </w:rPr>
        <w:t>Отчетените стойности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B1F">
        <w:rPr>
          <w:rFonts w:ascii="Times New Roman" w:hAnsi="Times New Roman"/>
          <w:sz w:val="24"/>
          <w:szCs w:val="24"/>
        </w:rPr>
        <w:t>за дълготрайни</w:t>
      </w:r>
      <w:r>
        <w:rPr>
          <w:rFonts w:ascii="Times New Roman" w:hAnsi="Times New Roman"/>
          <w:sz w:val="24"/>
          <w:szCs w:val="24"/>
        </w:rPr>
        <w:t>те</w:t>
      </w:r>
      <w:r w:rsidRPr="00A27B1F">
        <w:rPr>
          <w:rFonts w:ascii="Times New Roman" w:hAnsi="Times New Roman"/>
          <w:sz w:val="24"/>
          <w:szCs w:val="24"/>
        </w:rPr>
        <w:t xml:space="preserve"> активи в справки № </w:t>
      </w:r>
      <w:r>
        <w:rPr>
          <w:rFonts w:ascii="Times New Roman" w:hAnsi="Times New Roman"/>
          <w:sz w:val="24"/>
          <w:szCs w:val="24"/>
        </w:rPr>
        <w:t>20</w:t>
      </w:r>
      <w:r w:rsidRPr="00A27B1F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.1</w:t>
      </w:r>
      <w:r w:rsidRPr="00A27B1F">
        <w:rPr>
          <w:rFonts w:ascii="Times New Roman" w:hAnsi="Times New Roman"/>
          <w:sz w:val="24"/>
          <w:szCs w:val="24"/>
        </w:rPr>
        <w:t xml:space="preserve"> - № </w:t>
      </w:r>
      <w:r>
        <w:rPr>
          <w:rFonts w:ascii="Times New Roman" w:hAnsi="Times New Roman"/>
          <w:sz w:val="24"/>
          <w:szCs w:val="24"/>
        </w:rPr>
        <w:t>20.1</w:t>
      </w:r>
      <w:r w:rsidRPr="00A27B1F">
        <w:rPr>
          <w:rFonts w:ascii="Times New Roman" w:hAnsi="Times New Roman"/>
          <w:sz w:val="24"/>
          <w:szCs w:val="24"/>
        </w:rPr>
        <w:t xml:space="preserve">.5 </w:t>
      </w:r>
      <w:r w:rsidRPr="00A27B1F">
        <w:rPr>
          <w:rFonts w:ascii="Times New Roman" w:hAnsi="Times New Roman"/>
          <w:i/>
          <w:sz w:val="24"/>
          <w:szCs w:val="24"/>
        </w:rPr>
        <w:t>Дълготрайни активи</w:t>
      </w:r>
      <w:r w:rsidRPr="00A27B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следва да</w:t>
      </w:r>
      <w:r w:rsidRPr="00A27B1F">
        <w:rPr>
          <w:rFonts w:ascii="Times New Roman" w:hAnsi="Times New Roman"/>
          <w:sz w:val="24"/>
          <w:szCs w:val="24"/>
        </w:rPr>
        <w:t xml:space="preserve"> съответстват на данните от амортизационни</w:t>
      </w:r>
      <w:r>
        <w:rPr>
          <w:rFonts w:ascii="Times New Roman" w:hAnsi="Times New Roman"/>
          <w:sz w:val="24"/>
          <w:szCs w:val="24"/>
        </w:rPr>
        <w:t>те</w:t>
      </w:r>
      <w:r w:rsidRPr="00A27B1F">
        <w:rPr>
          <w:rFonts w:ascii="Times New Roman" w:hAnsi="Times New Roman"/>
          <w:sz w:val="24"/>
          <w:szCs w:val="24"/>
        </w:rPr>
        <w:t xml:space="preserve"> планове</w:t>
      </w:r>
      <w:r>
        <w:rPr>
          <w:rFonts w:ascii="Times New Roman" w:hAnsi="Times New Roman"/>
          <w:sz w:val="24"/>
          <w:szCs w:val="24"/>
        </w:rPr>
        <w:t xml:space="preserve"> на дружеството</w:t>
      </w:r>
      <w:r w:rsidRPr="00A27B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регулаторни цели </w:t>
      </w:r>
      <w:r w:rsidRPr="00A27B1F">
        <w:rPr>
          <w:rFonts w:ascii="Times New Roman" w:hAnsi="Times New Roman"/>
          <w:sz w:val="24"/>
          <w:szCs w:val="24"/>
        </w:rPr>
        <w:t xml:space="preserve">на балансовите и </w:t>
      </w:r>
      <w:proofErr w:type="spellStart"/>
      <w:r w:rsidRPr="00A27B1F">
        <w:rPr>
          <w:rFonts w:ascii="Times New Roman" w:hAnsi="Times New Roman"/>
          <w:sz w:val="24"/>
          <w:szCs w:val="24"/>
        </w:rPr>
        <w:t>задбалансовите</w:t>
      </w:r>
      <w:proofErr w:type="spellEnd"/>
      <w:r w:rsidRPr="00A27B1F">
        <w:rPr>
          <w:rFonts w:ascii="Times New Roman" w:hAnsi="Times New Roman"/>
          <w:sz w:val="24"/>
          <w:szCs w:val="24"/>
        </w:rPr>
        <w:t xml:space="preserve"> </w:t>
      </w:r>
      <w:r w:rsidRPr="005E00FF">
        <w:rPr>
          <w:rFonts w:ascii="Times New Roman" w:hAnsi="Times New Roman"/>
          <w:sz w:val="24"/>
          <w:szCs w:val="24"/>
        </w:rPr>
        <w:t>активи</w:t>
      </w:r>
      <w:r>
        <w:rPr>
          <w:rFonts w:ascii="Times New Roman" w:hAnsi="Times New Roman"/>
          <w:sz w:val="24"/>
          <w:szCs w:val="24"/>
        </w:rPr>
        <w:t xml:space="preserve"> по дейности и услуги.</w:t>
      </w:r>
    </w:p>
    <w:p w:rsidR="00BC1874" w:rsidRDefault="00BC1874" w:rsidP="003C350E">
      <w:pPr>
        <w:widowControl w:val="0"/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</w:rPr>
      </w:pPr>
      <w:r w:rsidRPr="00E90DF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Разпределението на Дълготрайните активи за административна и спомагателна дейност (АСД)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дейности, регулирани услуги и системи </w:t>
      </w:r>
      <w:r w:rsidRPr="00E90DF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извърш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</w:t>
      </w:r>
      <w:r w:rsidRPr="00E90DF5">
        <w:rPr>
          <w:rFonts w:ascii="Times New Roman" w:eastAsia="Times New Roman" w:hAnsi="Times New Roman" w:cs="Times New Roman"/>
          <w:bCs/>
          <w:sz w:val="24"/>
          <w:szCs w:val="24"/>
        </w:rPr>
        <w:t xml:space="preserve"> съгласно Правилата за ЕСРО и Приложение 1 към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Инструкции ЕСРО</w:t>
      </w:r>
      <w:r w:rsidRPr="004A070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C1874" w:rsidRPr="006D657E" w:rsidRDefault="00BC1874" w:rsidP="003C350E">
      <w:pPr>
        <w:widowControl w:val="0"/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</w:rPr>
      </w:pPr>
    </w:p>
    <w:p w:rsidR="00BC1874" w:rsidRPr="0065388F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38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регулаторната база на активите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В колона „Разчет“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на ред</w:t>
      </w:r>
      <w:r w:rsidRPr="00B749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„Оборотен капитал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749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се посочва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оборотния капитал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, ко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йто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е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одобрен в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бизнес плана в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 w:rsidR="002155CF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С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правка № 18 </w:t>
      </w:r>
      <w:r w:rsidRPr="009A6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Оборотен капитал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 w:rsidRPr="00B74981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за съответната година. </w:t>
      </w:r>
    </w:p>
    <w:p w:rsidR="00BC1874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Колона „Отчет“ на ред </w:t>
      </w:r>
      <w:r w:rsidRPr="00B74981">
        <w:rPr>
          <w:rFonts w:ascii="Times New Roman" w:eastAsia="Times New Roman" w:hAnsi="Times New Roman" w:cs="Times New Roman"/>
          <w:sz w:val="24"/>
          <w:szCs w:val="24"/>
          <w:lang w:eastAsia="bg-BG"/>
        </w:rPr>
        <w:t>„Оборотен капитал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получава като отчетените разходи от справка № 17.1</w:t>
      </w:r>
      <w:r w:rsidRPr="00AC5CB7">
        <w:t xml:space="preserve"> </w:t>
      </w:r>
      <w:r w:rsidRPr="00AC5CB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Отчет на годишните разходи за регулираните услуги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ред 89 „Общо разходи с изключени амортизации“ от годишни отчетни справки се раздели на ред „</w:t>
      </w:r>
      <w:r w:rsidRPr="006538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Брой нетни цикли на оборотния капитал в годината“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справка № 18 </w:t>
      </w:r>
      <w:r w:rsidRPr="009A6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Оборотен капитал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одобрения</w:t>
      </w:r>
      <w:r w:rsidRPr="006538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бизнес план за съответната година.</w:t>
      </w:r>
    </w:p>
    <w:p w:rsidR="003C350E" w:rsidRDefault="003C350E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65388F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38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Отчет на нормата на възвръщаемост на капитала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 w:rsidRPr="00AB4DE6">
        <w:rPr>
          <w:rFonts w:ascii="Times New Roman" w:eastAsia="Times New Roman" w:hAnsi="Times New Roman" w:cs="Times New Roman"/>
          <w:sz w:val="24"/>
          <w:szCs w:val="24"/>
          <w:lang w:eastAsia="bg-BG"/>
        </w:rPr>
        <w:t>Справката се попълва в съответствие с нормата на възвращаемост одобрена в бизнес плана на дружеството и отчетни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AB4D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данни за собствения и привлечен капитал. </w:t>
      </w:r>
    </w:p>
    <w:p w:rsidR="00BC1874" w:rsidRPr="00D0706C" w:rsidRDefault="00BC1874" w:rsidP="003C3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:rsidR="00BC1874" w:rsidRPr="0065388F" w:rsidRDefault="00BC1874" w:rsidP="003C350E">
      <w:pPr>
        <w:widowControl w:val="0"/>
        <w:tabs>
          <w:tab w:val="left" w:pos="1560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B6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Справка № 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B442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Отчет на персонала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Справката се попълва за всички дейности, услуги и системи, като се посочват данни за предходната година, разчет по бизнес план и отчет за отчетната година.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920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Числеността на персонала се посочва като брой служители на пълна заетост,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б</w:t>
      </w:r>
      <w:r w:rsidRPr="004A070E">
        <w:rPr>
          <w:rFonts w:ascii="Times New Roman" w:eastAsia="Times New Roman" w:hAnsi="Times New Roman" w:cs="Times New Roman"/>
          <w:sz w:val="24"/>
          <w:szCs w:val="24"/>
          <w:lang w:eastAsia="bg-BG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я</w:t>
      </w:r>
      <w:r w:rsidRPr="004A07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служители назначени на непълно работно време се преизчислява в еквивалент на лице в пълна заетост.</w:t>
      </w:r>
    </w:p>
    <w:p w:rsidR="00BC1874" w:rsidRPr="003920E7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Персоналът за всяка регулирана услуга, водоснабдителна система и нерегулирана дейност се посочва по категориите, определени с единния класификатор. </w:t>
      </w:r>
    </w:p>
    <w:p w:rsidR="00BC1874" w:rsidRDefault="00BC1874" w:rsidP="003C350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Непряко заетият и административният персонал се разпределят по дейности, регулирани услуги и системи в съответствие </w:t>
      </w:r>
      <w:r w:rsid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с Инструкции ЕСРО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C1874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91E9C" w:rsidRDefault="00391E9C" w:rsidP="003C350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</w:pPr>
    </w:p>
    <w:p w:rsidR="00BC1874" w:rsidRPr="0065388F" w:rsidRDefault="00BC1874" w:rsidP="003C350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38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ЕСРО</w:t>
      </w:r>
    </w:p>
    <w:p w:rsidR="00BC1874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Справките от отчета по ЕСРО се попълват в съответствие с Правилата към Единния сметкоплан за регулаторни цели на ВиК операторите и Инструкциите за попълване на годишните отчетни справки за целите на регулаторното счетоводство на ВиК операторите, приети с решение на Комисията 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т. 1 от Протокол №</w:t>
      </w:r>
      <w:r w:rsidR="00DB2D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252 от 29.11.2017 г., с начална дата на прилагане на измененията 01.</w:t>
      </w:r>
      <w:proofErr w:type="spellStart"/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01</w:t>
      </w:r>
      <w:proofErr w:type="spellEnd"/>
      <w:r w:rsidR="003C350E" w:rsidRPr="003C350E">
        <w:rPr>
          <w:rFonts w:ascii="Times New Roman" w:eastAsia="Times New Roman" w:hAnsi="Times New Roman" w:cs="Times New Roman"/>
          <w:sz w:val="24"/>
          <w:szCs w:val="24"/>
          <w:lang w:eastAsia="bg-BG"/>
        </w:rPr>
        <w:t>.2018 г.</w:t>
      </w:r>
    </w:p>
    <w:p w:rsidR="00BC1874" w:rsidRPr="0078224D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настоящия модел справки № 5 - 5.5 </w:t>
      </w:r>
      <w:r w:rsidRPr="002844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Дълготрайни активи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, № 7 – 7.1.</w:t>
      </w:r>
      <w:r w:rsid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844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Разходи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№ 10.  </w:t>
      </w:r>
      <w:r w:rsidRPr="002844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Персонал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изцяло резултативни и не се налага попълване на данни в тях. </w:t>
      </w:r>
    </w:p>
    <w:p w:rsidR="00BC1874" w:rsidRPr="0078224D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C1874" w:rsidRPr="0078224D" w:rsidRDefault="00BC1874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отношение на</w:t>
      </w:r>
      <w:r w:rsidR="002155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правка №</w:t>
      </w:r>
      <w:r w:rsidR="00DB2D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 </w:t>
      </w:r>
      <w:r w:rsidRPr="002844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Баланс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дават следните пояснения:</w:t>
      </w:r>
    </w:p>
    <w:p w:rsidR="00BC1874" w:rsidRPr="0078224D" w:rsidRDefault="00BC1874" w:rsidP="003C350E">
      <w:pPr>
        <w:widowControl w:val="0"/>
        <w:tabs>
          <w:tab w:val="left" w:pos="284"/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В баланса се посочват корпоративни дълготрайни активи и публични активи, изградени със собствени средства.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C1874" w:rsidRPr="0078224D" w:rsidRDefault="00BC1874" w:rsidP="003C350E">
      <w:pPr>
        <w:widowControl w:val="0"/>
        <w:tabs>
          <w:tab w:val="left" w:pos="284"/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реда „Вземания от клиенти“ се попълва балансовата стойност на текущите вземания от клиенти.</w:t>
      </w:r>
    </w:p>
    <w:p w:rsidR="00BC1874" w:rsidRPr="0078224D" w:rsidRDefault="00BC1874" w:rsidP="003C350E">
      <w:pPr>
        <w:widowControl w:val="0"/>
        <w:tabs>
          <w:tab w:val="left" w:pos="284"/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реда „Вземания от доставчици“ се попълва балансовата стойност на предоставените аванси на доставчици.</w:t>
      </w:r>
    </w:p>
    <w:p w:rsidR="00BC1874" w:rsidRPr="0078224D" w:rsidRDefault="00BC1874" w:rsidP="003C350E">
      <w:pPr>
        <w:widowControl w:val="0"/>
        <w:tabs>
          <w:tab w:val="left" w:pos="284"/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реда „Други вземания“ се попълва балансовата стойност на други видове вземания в това число и съдебните вземания.</w:t>
      </w:r>
    </w:p>
    <w:p w:rsidR="00BC1874" w:rsidRPr="0078224D" w:rsidRDefault="00BC1874" w:rsidP="003C350E">
      <w:pPr>
        <w:widowControl w:val="0"/>
        <w:tabs>
          <w:tab w:val="left" w:pos="284"/>
          <w:tab w:val="left" w:pos="72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реда „Провизии за </w:t>
      </w:r>
      <w:proofErr w:type="spellStart"/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обезценка</w:t>
      </w:r>
      <w:proofErr w:type="spellEnd"/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вземания“ се попълва </w:t>
      </w:r>
      <w:r w:rsidRPr="0078224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положителната стойност</w:t>
      </w:r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размера на обезценените текущи вземания от клиенти (не се включва </w:t>
      </w:r>
      <w:proofErr w:type="spellStart"/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обезценката</w:t>
      </w:r>
      <w:proofErr w:type="spellEnd"/>
      <w:r w:rsidRPr="007822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съдебните вземания). Този ред не се включва в сбора на вземанията в баланса.</w:t>
      </w:r>
    </w:p>
    <w:p w:rsidR="00FC0FE2" w:rsidRPr="00B4292E" w:rsidRDefault="00FC0FE2" w:rsidP="003C350E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0AEB" w:rsidRPr="002C3051" w:rsidRDefault="00E90AEB" w:rsidP="003C35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E90AEB" w:rsidRPr="002C3051" w:rsidSect="006629C4">
      <w:headerReference w:type="default" r:id="rId9"/>
      <w:footerReference w:type="default" r:id="rId10"/>
      <w:pgSz w:w="11906" w:h="16838"/>
      <w:pgMar w:top="993" w:right="1133" w:bottom="1135" w:left="1134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DD" w:rsidRDefault="00B74EDD" w:rsidP="003920E7">
      <w:pPr>
        <w:spacing w:after="0" w:line="240" w:lineRule="auto"/>
      </w:pPr>
      <w:r>
        <w:separator/>
      </w:r>
    </w:p>
  </w:endnote>
  <w:endnote w:type="continuationSeparator" w:id="0">
    <w:p w:rsidR="00B74EDD" w:rsidRDefault="00B74EDD" w:rsidP="0039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4419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33C6" w:rsidRDefault="002C33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BE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C33C6" w:rsidRDefault="002C33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DD" w:rsidRDefault="00B74EDD" w:rsidP="003920E7">
      <w:pPr>
        <w:spacing w:after="0" w:line="240" w:lineRule="auto"/>
      </w:pPr>
      <w:r>
        <w:separator/>
      </w:r>
    </w:p>
  </w:footnote>
  <w:footnote w:type="continuationSeparator" w:id="0">
    <w:p w:rsidR="00B74EDD" w:rsidRDefault="00B74EDD" w:rsidP="00392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D1" w:rsidRPr="00171DD1" w:rsidRDefault="00171DD1" w:rsidP="00171DD1">
    <w:pPr>
      <w:widowControl w:val="0"/>
      <w:spacing w:after="0" w:line="240" w:lineRule="auto"/>
      <w:ind w:left="7080" w:firstLine="1000"/>
      <w:jc w:val="both"/>
      <w:rPr>
        <w:rFonts w:ascii="Times New Roman" w:eastAsia="Times New Roman" w:hAnsi="Times New Roman" w:cs="Times New Roman"/>
        <w:lang w:val="en-GB"/>
      </w:rPr>
    </w:pPr>
    <w:r w:rsidRPr="00171DD1">
      <w:rPr>
        <w:rFonts w:ascii="Times New Roman" w:eastAsia="Times New Roman" w:hAnsi="Times New Roman" w:cs="Times New Roman"/>
        <w:lang w:val="en-GB"/>
      </w:rPr>
      <w:t>[TLP-WHITE]</w:t>
    </w:r>
  </w:p>
  <w:p w:rsidR="00171DD1" w:rsidRPr="00AE6BE1" w:rsidRDefault="00171DD1" w:rsidP="00171DD1">
    <w:pPr>
      <w:spacing w:after="0" w:line="240" w:lineRule="auto"/>
      <w:ind w:left="7788" w:firstLine="1000"/>
      <w:rPr>
        <w:rFonts w:ascii="Times New Roman" w:eastAsia="Times New Roman" w:hAnsi="Times New Roman" w:cs="Times New Roman"/>
        <w:lang w:val="en-GB"/>
      </w:rPr>
    </w:pPr>
    <w:r w:rsidRPr="00171DD1">
      <w:rPr>
        <w:rFonts w:ascii="Times New Roman" w:eastAsia="Times New Roman" w:hAnsi="Times New Roman" w:cs="Times New Roman"/>
      </w:rPr>
      <w:t xml:space="preserve">Ниво </w:t>
    </w:r>
    <w:r w:rsidR="00AE6BE1">
      <w:rPr>
        <w:rFonts w:ascii="Times New Roman" w:eastAsia="Times New Roman" w:hAnsi="Times New Roman" w:cs="Times New Roman"/>
        <w:lang w:val="en-GB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F32"/>
    <w:multiLevelType w:val="hybridMultilevel"/>
    <w:tmpl w:val="B8E259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F1004"/>
    <w:multiLevelType w:val="hybridMultilevel"/>
    <w:tmpl w:val="8ADA32B4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2" w:hanging="360"/>
      </w:pPr>
    </w:lvl>
    <w:lvl w:ilvl="2" w:tplc="0409001B" w:tentative="1">
      <w:start w:val="1"/>
      <w:numFmt w:val="lowerRoman"/>
      <w:lvlText w:val="%3."/>
      <w:lvlJc w:val="right"/>
      <w:pPr>
        <w:ind w:left="2492" w:hanging="180"/>
      </w:pPr>
    </w:lvl>
    <w:lvl w:ilvl="3" w:tplc="0409000F" w:tentative="1">
      <w:start w:val="1"/>
      <w:numFmt w:val="decimal"/>
      <w:lvlText w:val="%4."/>
      <w:lvlJc w:val="left"/>
      <w:pPr>
        <w:ind w:left="3212" w:hanging="360"/>
      </w:pPr>
    </w:lvl>
    <w:lvl w:ilvl="4" w:tplc="04090019" w:tentative="1">
      <w:start w:val="1"/>
      <w:numFmt w:val="lowerLetter"/>
      <w:lvlText w:val="%5."/>
      <w:lvlJc w:val="left"/>
      <w:pPr>
        <w:ind w:left="3932" w:hanging="360"/>
      </w:pPr>
    </w:lvl>
    <w:lvl w:ilvl="5" w:tplc="0409001B" w:tentative="1">
      <w:start w:val="1"/>
      <w:numFmt w:val="lowerRoman"/>
      <w:lvlText w:val="%6."/>
      <w:lvlJc w:val="right"/>
      <w:pPr>
        <w:ind w:left="4652" w:hanging="180"/>
      </w:pPr>
    </w:lvl>
    <w:lvl w:ilvl="6" w:tplc="0409000F" w:tentative="1">
      <w:start w:val="1"/>
      <w:numFmt w:val="decimal"/>
      <w:lvlText w:val="%7."/>
      <w:lvlJc w:val="left"/>
      <w:pPr>
        <w:ind w:left="5372" w:hanging="360"/>
      </w:pPr>
    </w:lvl>
    <w:lvl w:ilvl="7" w:tplc="04090019" w:tentative="1">
      <w:start w:val="1"/>
      <w:numFmt w:val="lowerLetter"/>
      <w:lvlText w:val="%8."/>
      <w:lvlJc w:val="left"/>
      <w:pPr>
        <w:ind w:left="6092" w:hanging="360"/>
      </w:pPr>
    </w:lvl>
    <w:lvl w:ilvl="8" w:tplc="04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">
    <w:nsid w:val="09257B04"/>
    <w:multiLevelType w:val="hybridMultilevel"/>
    <w:tmpl w:val="2B245B94"/>
    <w:lvl w:ilvl="0" w:tplc="072226BA">
      <w:start w:val="1"/>
      <w:numFmt w:val="decimal"/>
      <w:lvlText w:val="%1."/>
      <w:lvlJc w:val="left"/>
      <w:pPr>
        <w:ind w:left="147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93" w:hanging="360"/>
      </w:pPr>
    </w:lvl>
    <w:lvl w:ilvl="2" w:tplc="0402001B" w:tentative="1">
      <w:start w:val="1"/>
      <w:numFmt w:val="lowerRoman"/>
      <w:lvlText w:val="%3."/>
      <w:lvlJc w:val="right"/>
      <w:pPr>
        <w:ind w:left="2913" w:hanging="180"/>
      </w:pPr>
    </w:lvl>
    <w:lvl w:ilvl="3" w:tplc="0402000F" w:tentative="1">
      <w:start w:val="1"/>
      <w:numFmt w:val="decimal"/>
      <w:lvlText w:val="%4."/>
      <w:lvlJc w:val="left"/>
      <w:pPr>
        <w:ind w:left="3633" w:hanging="360"/>
      </w:pPr>
    </w:lvl>
    <w:lvl w:ilvl="4" w:tplc="04020019" w:tentative="1">
      <w:start w:val="1"/>
      <w:numFmt w:val="lowerLetter"/>
      <w:lvlText w:val="%5."/>
      <w:lvlJc w:val="left"/>
      <w:pPr>
        <w:ind w:left="4353" w:hanging="360"/>
      </w:pPr>
    </w:lvl>
    <w:lvl w:ilvl="5" w:tplc="0402001B" w:tentative="1">
      <w:start w:val="1"/>
      <w:numFmt w:val="lowerRoman"/>
      <w:lvlText w:val="%6."/>
      <w:lvlJc w:val="right"/>
      <w:pPr>
        <w:ind w:left="5073" w:hanging="180"/>
      </w:pPr>
    </w:lvl>
    <w:lvl w:ilvl="6" w:tplc="0402000F" w:tentative="1">
      <w:start w:val="1"/>
      <w:numFmt w:val="decimal"/>
      <w:lvlText w:val="%7."/>
      <w:lvlJc w:val="left"/>
      <w:pPr>
        <w:ind w:left="5793" w:hanging="360"/>
      </w:pPr>
    </w:lvl>
    <w:lvl w:ilvl="7" w:tplc="04020019" w:tentative="1">
      <w:start w:val="1"/>
      <w:numFmt w:val="lowerLetter"/>
      <w:lvlText w:val="%8."/>
      <w:lvlJc w:val="left"/>
      <w:pPr>
        <w:ind w:left="6513" w:hanging="360"/>
      </w:pPr>
    </w:lvl>
    <w:lvl w:ilvl="8" w:tplc="0402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3">
    <w:nsid w:val="1008309D"/>
    <w:multiLevelType w:val="multilevel"/>
    <w:tmpl w:val="31F2993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>
    <w:nsid w:val="17252D7B"/>
    <w:multiLevelType w:val="hybridMultilevel"/>
    <w:tmpl w:val="F2EA9D1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9773C"/>
    <w:multiLevelType w:val="hybridMultilevel"/>
    <w:tmpl w:val="93B4EC9C"/>
    <w:lvl w:ilvl="0" w:tplc="C6C27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B15A3"/>
    <w:multiLevelType w:val="hybridMultilevel"/>
    <w:tmpl w:val="283AB992"/>
    <w:lvl w:ilvl="0" w:tplc="6E1EC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A573EF"/>
    <w:multiLevelType w:val="hybridMultilevel"/>
    <w:tmpl w:val="BC34B120"/>
    <w:lvl w:ilvl="0" w:tplc="D80610CE">
      <w:start w:val="6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A4CEF"/>
    <w:multiLevelType w:val="hybridMultilevel"/>
    <w:tmpl w:val="83B63D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C0D17"/>
    <w:multiLevelType w:val="hybridMultilevel"/>
    <w:tmpl w:val="A5BA54D8"/>
    <w:lvl w:ilvl="0" w:tplc="28362B2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C5C1D"/>
    <w:multiLevelType w:val="multilevel"/>
    <w:tmpl w:val="31F2993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1">
    <w:nsid w:val="6CDC14A7"/>
    <w:multiLevelType w:val="hybridMultilevel"/>
    <w:tmpl w:val="E258D2A0"/>
    <w:lvl w:ilvl="0" w:tplc="AAAC33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E64541A"/>
    <w:multiLevelType w:val="hybridMultilevel"/>
    <w:tmpl w:val="69C2D09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F6C64D7"/>
    <w:multiLevelType w:val="hybridMultilevel"/>
    <w:tmpl w:val="BF3AB6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8B167D"/>
    <w:multiLevelType w:val="multilevel"/>
    <w:tmpl w:val="31F2993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5">
    <w:nsid w:val="72FF6629"/>
    <w:multiLevelType w:val="hybridMultilevel"/>
    <w:tmpl w:val="C96A9DBA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5230DA5"/>
    <w:multiLevelType w:val="hybridMultilevel"/>
    <w:tmpl w:val="3C92F9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3"/>
  </w:num>
  <w:num w:numId="9">
    <w:abstractNumId w:val="8"/>
  </w:num>
  <w:num w:numId="10">
    <w:abstractNumId w:val="16"/>
  </w:num>
  <w:num w:numId="11">
    <w:abstractNumId w:val="7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D0"/>
    <w:rsid w:val="00004E72"/>
    <w:rsid w:val="00007E16"/>
    <w:rsid w:val="0002035E"/>
    <w:rsid w:val="00020D77"/>
    <w:rsid w:val="00024924"/>
    <w:rsid w:val="000277C8"/>
    <w:rsid w:val="00033070"/>
    <w:rsid w:val="000405A4"/>
    <w:rsid w:val="00051EC0"/>
    <w:rsid w:val="00052057"/>
    <w:rsid w:val="000521F0"/>
    <w:rsid w:val="00056CF2"/>
    <w:rsid w:val="00064F93"/>
    <w:rsid w:val="00067723"/>
    <w:rsid w:val="000738D5"/>
    <w:rsid w:val="0007673F"/>
    <w:rsid w:val="00080946"/>
    <w:rsid w:val="000821C8"/>
    <w:rsid w:val="00082E7E"/>
    <w:rsid w:val="000934D0"/>
    <w:rsid w:val="000A62FD"/>
    <w:rsid w:val="000B7B99"/>
    <w:rsid w:val="000B7FD7"/>
    <w:rsid w:val="000C13AB"/>
    <w:rsid w:val="000C25F0"/>
    <w:rsid w:val="000C33BB"/>
    <w:rsid w:val="000C515B"/>
    <w:rsid w:val="000C60BA"/>
    <w:rsid w:val="000D0759"/>
    <w:rsid w:val="000D3607"/>
    <w:rsid w:val="000F1F0F"/>
    <w:rsid w:val="00100CA2"/>
    <w:rsid w:val="00100F74"/>
    <w:rsid w:val="00103A13"/>
    <w:rsid w:val="00103E12"/>
    <w:rsid w:val="001040F1"/>
    <w:rsid w:val="00104DC4"/>
    <w:rsid w:val="00111E5C"/>
    <w:rsid w:val="00122FFD"/>
    <w:rsid w:val="00124E2F"/>
    <w:rsid w:val="0012705A"/>
    <w:rsid w:val="00127A2C"/>
    <w:rsid w:val="00142AB5"/>
    <w:rsid w:val="00146F06"/>
    <w:rsid w:val="00153612"/>
    <w:rsid w:val="00154562"/>
    <w:rsid w:val="001558AC"/>
    <w:rsid w:val="00155B65"/>
    <w:rsid w:val="00160761"/>
    <w:rsid w:val="00166612"/>
    <w:rsid w:val="00170007"/>
    <w:rsid w:val="00171DD1"/>
    <w:rsid w:val="00172457"/>
    <w:rsid w:val="001735C9"/>
    <w:rsid w:val="001735DD"/>
    <w:rsid w:val="001736F8"/>
    <w:rsid w:val="001758D8"/>
    <w:rsid w:val="00176BA1"/>
    <w:rsid w:val="00183353"/>
    <w:rsid w:val="00185B1F"/>
    <w:rsid w:val="00186A28"/>
    <w:rsid w:val="00186A5D"/>
    <w:rsid w:val="001976D6"/>
    <w:rsid w:val="001B11C9"/>
    <w:rsid w:val="001C0425"/>
    <w:rsid w:val="001C5E78"/>
    <w:rsid w:val="001E049E"/>
    <w:rsid w:val="001E1D4F"/>
    <w:rsid w:val="001E277E"/>
    <w:rsid w:val="002072E7"/>
    <w:rsid w:val="0021241F"/>
    <w:rsid w:val="002155CF"/>
    <w:rsid w:val="002160C1"/>
    <w:rsid w:val="00227405"/>
    <w:rsid w:val="002328EE"/>
    <w:rsid w:val="002379B5"/>
    <w:rsid w:val="00244873"/>
    <w:rsid w:val="00262AC1"/>
    <w:rsid w:val="00263862"/>
    <w:rsid w:val="00264676"/>
    <w:rsid w:val="0027687E"/>
    <w:rsid w:val="00277B46"/>
    <w:rsid w:val="002844E7"/>
    <w:rsid w:val="0029223D"/>
    <w:rsid w:val="00295D9F"/>
    <w:rsid w:val="002A00FE"/>
    <w:rsid w:val="002A1483"/>
    <w:rsid w:val="002A14F0"/>
    <w:rsid w:val="002A232C"/>
    <w:rsid w:val="002A615E"/>
    <w:rsid w:val="002A713C"/>
    <w:rsid w:val="002B6992"/>
    <w:rsid w:val="002B6C88"/>
    <w:rsid w:val="002C3051"/>
    <w:rsid w:val="002C33C6"/>
    <w:rsid w:val="002C76EC"/>
    <w:rsid w:val="002D029C"/>
    <w:rsid w:val="002D6987"/>
    <w:rsid w:val="002D6A98"/>
    <w:rsid w:val="002D7014"/>
    <w:rsid w:val="002E2E07"/>
    <w:rsid w:val="002E3D29"/>
    <w:rsid w:val="002E5906"/>
    <w:rsid w:val="002E70AC"/>
    <w:rsid w:val="002E7CBE"/>
    <w:rsid w:val="00314C89"/>
    <w:rsid w:val="003211B2"/>
    <w:rsid w:val="0032630C"/>
    <w:rsid w:val="00330250"/>
    <w:rsid w:val="00330EFB"/>
    <w:rsid w:val="00345C67"/>
    <w:rsid w:val="003554A1"/>
    <w:rsid w:val="00356030"/>
    <w:rsid w:val="003562AF"/>
    <w:rsid w:val="003575D6"/>
    <w:rsid w:val="003631CF"/>
    <w:rsid w:val="00366E05"/>
    <w:rsid w:val="0037566E"/>
    <w:rsid w:val="003810D9"/>
    <w:rsid w:val="003917AA"/>
    <w:rsid w:val="00391E9C"/>
    <w:rsid w:val="003920E7"/>
    <w:rsid w:val="00397AD9"/>
    <w:rsid w:val="003A1131"/>
    <w:rsid w:val="003A71A2"/>
    <w:rsid w:val="003B064C"/>
    <w:rsid w:val="003B4EEA"/>
    <w:rsid w:val="003B5CCF"/>
    <w:rsid w:val="003B5FA5"/>
    <w:rsid w:val="003C350E"/>
    <w:rsid w:val="003C5ADB"/>
    <w:rsid w:val="003C6169"/>
    <w:rsid w:val="003D062B"/>
    <w:rsid w:val="003D68F6"/>
    <w:rsid w:val="003D7194"/>
    <w:rsid w:val="003E2723"/>
    <w:rsid w:val="003E2A45"/>
    <w:rsid w:val="003E5ACB"/>
    <w:rsid w:val="003F5258"/>
    <w:rsid w:val="003F67D0"/>
    <w:rsid w:val="004012F9"/>
    <w:rsid w:val="00402D4A"/>
    <w:rsid w:val="00404B01"/>
    <w:rsid w:val="004068B9"/>
    <w:rsid w:val="004132EA"/>
    <w:rsid w:val="00415553"/>
    <w:rsid w:val="00415DAD"/>
    <w:rsid w:val="00420841"/>
    <w:rsid w:val="004233CD"/>
    <w:rsid w:val="004269A7"/>
    <w:rsid w:val="00427955"/>
    <w:rsid w:val="00432876"/>
    <w:rsid w:val="00433F49"/>
    <w:rsid w:val="0044647B"/>
    <w:rsid w:val="00453D3A"/>
    <w:rsid w:val="004557FB"/>
    <w:rsid w:val="00461214"/>
    <w:rsid w:val="00466234"/>
    <w:rsid w:val="00470397"/>
    <w:rsid w:val="00470C4D"/>
    <w:rsid w:val="00475229"/>
    <w:rsid w:val="004819A8"/>
    <w:rsid w:val="004867B5"/>
    <w:rsid w:val="00491A1E"/>
    <w:rsid w:val="004952E5"/>
    <w:rsid w:val="0049619B"/>
    <w:rsid w:val="004B239D"/>
    <w:rsid w:val="004B360C"/>
    <w:rsid w:val="004C0868"/>
    <w:rsid w:val="004C13E9"/>
    <w:rsid w:val="004C1477"/>
    <w:rsid w:val="004C2E62"/>
    <w:rsid w:val="004D7338"/>
    <w:rsid w:val="004D7C66"/>
    <w:rsid w:val="004E33F8"/>
    <w:rsid w:val="004E7ABC"/>
    <w:rsid w:val="004F19FE"/>
    <w:rsid w:val="004F4C38"/>
    <w:rsid w:val="00504C78"/>
    <w:rsid w:val="00504DB0"/>
    <w:rsid w:val="00507ED1"/>
    <w:rsid w:val="00521894"/>
    <w:rsid w:val="0052643F"/>
    <w:rsid w:val="0053773E"/>
    <w:rsid w:val="00537EE6"/>
    <w:rsid w:val="00550F91"/>
    <w:rsid w:val="00552551"/>
    <w:rsid w:val="00553491"/>
    <w:rsid w:val="005571CC"/>
    <w:rsid w:val="00570E0C"/>
    <w:rsid w:val="00571993"/>
    <w:rsid w:val="005727AC"/>
    <w:rsid w:val="005738B7"/>
    <w:rsid w:val="005754B1"/>
    <w:rsid w:val="00585C9E"/>
    <w:rsid w:val="005C28B4"/>
    <w:rsid w:val="005C62DF"/>
    <w:rsid w:val="005D32A0"/>
    <w:rsid w:val="005D551A"/>
    <w:rsid w:val="005F0F27"/>
    <w:rsid w:val="005F454B"/>
    <w:rsid w:val="005F5A7A"/>
    <w:rsid w:val="00605FB6"/>
    <w:rsid w:val="00612934"/>
    <w:rsid w:val="00630D56"/>
    <w:rsid w:val="00635645"/>
    <w:rsid w:val="006430EE"/>
    <w:rsid w:val="006434CA"/>
    <w:rsid w:val="00643EAE"/>
    <w:rsid w:val="00652C51"/>
    <w:rsid w:val="00660488"/>
    <w:rsid w:val="006629C4"/>
    <w:rsid w:val="00673288"/>
    <w:rsid w:val="00683E8F"/>
    <w:rsid w:val="00692436"/>
    <w:rsid w:val="00693C25"/>
    <w:rsid w:val="006940E0"/>
    <w:rsid w:val="0069750F"/>
    <w:rsid w:val="006A02AA"/>
    <w:rsid w:val="006B317F"/>
    <w:rsid w:val="006B3716"/>
    <w:rsid w:val="006C3604"/>
    <w:rsid w:val="006C7F20"/>
    <w:rsid w:val="006D56E3"/>
    <w:rsid w:val="006D657E"/>
    <w:rsid w:val="006E05B3"/>
    <w:rsid w:val="006E305A"/>
    <w:rsid w:val="00700CBF"/>
    <w:rsid w:val="00706FA5"/>
    <w:rsid w:val="007126ED"/>
    <w:rsid w:val="0071686D"/>
    <w:rsid w:val="00717EEB"/>
    <w:rsid w:val="0072274F"/>
    <w:rsid w:val="007228B0"/>
    <w:rsid w:val="007244A2"/>
    <w:rsid w:val="00752070"/>
    <w:rsid w:val="00752A9E"/>
    <w:rsid w:val="0078224D"/>
    <w:rsid w:val="00791692"/>
    <w:rsid w:val="00791C5E"/>
    <w:rsid w:val="00794A42"/>
    <w:rsid w:val="00796C27"/>
    <w:rsid w:val="007978D9"/>
    <w:rsid w:val="007A2BE1"/>
    <w:rsid w:val="007A43FB"/>
    <w:rsid w:val="007B4EEE"/>
    <w:rsid w:val="007B7D27"/>
    <w:rsid w:val="007C2CCC"/>
    <w:rsid w:val="007C5686"/>
    <w:rsid w:val="007C67DF"/>
    <w:rsid w:val="007D034E"/>
    <w:rsid w:val="007E11D5"/>
    <w:rsid w:val="007F13EB"/>
    <w:rsid w:val="007F277C"/>
    <w:rsid w:val="00801B41"/>
    <w:rsid w:val="00813096"/>
    <w:rsid w:val="0082096E"/>
    <w:rsid w:val="00831B69"/>
    <w:rsid w:val="00833CF3"/>
    <w:rsid w:val="008424E1"/>
    <w:rsid w:val="00855462"/>
    <w:rsid w:val="008746FF"/>
    <w:rsid w:val="0087693E"/>
    <w:rsid w:val="0088190F"/>
    <w:rsid w:val="00882E1B"/>
    <w:rsid w:val="008858D4"/>
    <w:rsid w:val="00887C44"/>
    <w:rsid w:val="0089799F"/>
    <w:rsid w:val="008A16B7"/>
    <w:rsid w:val="008A2D0D"/>
    <w:rsid w:val="008A4AFF"/>
    <w:rsid w:val="008B4DDA"/>
    <w:rsid w:val="008B67EE"/>
    <w:rsid w:val="008C3185"/>
    <w:rsid w:val="008C5D86"/>
    <w:rsid w:val="008C6A4A"/>
    <w:rsid w:val="008D6A66"/>
    <w:rsid w:val="008E083C"/>
    <w:rsid w:val="008E10B5"/>
    <w:rsid w:val="008E13A2"/>
    <w:rsid w:val="008E21A2"/>
    <w:rsid w:val="008F486C"/>
    <w:rsid w:val="00901FAB"/>
    <w:rsid w:val="00904325"/>
    <w:rsid w:val="00904938"/>
    <w:rsid w:val="00907B04"/>
    <w:rsid w:val="009136B9"/>
    <w:rsid w:val="00924158"/>
    <w:rsid w:val="00930A7C"/>
    <w:rsid w:val="009325DB"/>
    <w:rsid w:val="009330EB"/>
    <w:rsid w:val="00945EC9"/>
    <w:rsid w:val="00957CE2"/>
    <w:rsid w:val="009648D3"/>
    <w:rsid w:val="009740D6"/>
    <w:rsid w:val="00974FAC"/>
    <w:rsid w:val="0097721D"/>
    <w:rsid w:val="00981410"/>
    <w:rsid w:val="00995F1B"/>
    <w:rsid w:val="00996B4B"/>
    <w:rsid w:val="009A7A33"/>
    <w:rsid w:val="009B353C"/>
    <w:rsid w:val="009B3B2B"/>
    <w:rsid w:val="009B6261"/>
    <w:rsid w:val="009C1E83"/>
    <w:rsid w:val="009C393D"/>
    <w:rsid w:val="009C6523"/>
    <w:rsid w:val="009C6BCE"/>
    <w:rsid w:val="009D3194"/>
    <w:rsid w:val="009D721F"/>
    <w:rsid w:val="009D7BD3"/>
    <w:rsid w:val="009E2485"/>
    <w:rsid w:val="009F0EE5"/>
    <w:rsid w:val="00A0214E"/>
    <w:rsid w:val="00A176B7"/>
    <w:rsid w:val="00A22271"/>
    <w:rsid w:val="00A223E2"/>
    <w:rsid w:val="00A22E3C"/>
    <w:rsid w:val="00A234CF"/>
    <w:rsid w:val="00A23B5F"/>
    <w:rsid w:val="00A25E50"/>
    <w:rsid w:val="00A35754"/>
    <w:rsid w:val="00A42257"/>
    <w:rsid w:val="00A43752"/>
    <w:rsid w:val="00A43CCB"/>
    <w:rsid w:val="00A43EB8"/>
    <w:rsid w:val="00A4672C"/>
    <w:rsid w:val="00A52352"/>
    <w:rsid w:val="00A55E76"/>
    <w:rsid w:val="00A61C1F"/>
    <w:rsid w:val="00A63D7B"/>
    <w:rsid w:val="00A72E19"/>
    <w:rsid w:val="00A76A77"/>
    <w:rsid w:val="00A76AFF"/>
    <w:rsid w:val="00A77605"/>
    <w:rsid w:val="00A80C8B"/>
    <w:rsid w:val="00A80E05"/>
    <w:rsid w:val="00A8452E"/>
    <w:rsid w:val="00A853F8"/>
    <w:rsid w:val="00A97F1A"/>
    <w:rsid w:val="00AA7843"/>
    <w:rsid w:val="00AB7772"/>
    <w:rsid w:val="00AC1DC0"/>
    <w:rsid w:val="00AC4C81"/>
    <w:rsid w:val="00AC6D60"/>
    <w:rsid w:val="00AD561E"/>
    <w:rsid w:val="00AD7458"/>
    <w:rsid w:val="00AE1423"/>
    <w:rsid w:val="00AE6BE1"/>
    <w:rsid w:val="00AF6F9E"/>
    <w:rsid w:val="00B01439"/>
    <w:rsid w:val="00B060B3"/>
    <w:rsid w:val="00B1056D"/>
    <w:rsid w:val="00B1292D"/>
    <w:rsid w:val="00B13BAB"/>
    <w:rsid w:val="00B1728B"/>
    <w:rsid w:val="00B233B9"/>
    <w:rsid w:val="00B25521"/>
    <w:rsid w:val="00B334AA"/>
    <w:rsid w:val="00B365CE"/>
    <w:rsid w:val="00B3684E"/>
    <w:rsid w:val="00B37F28"/>
    <w:rsid w:val="00B4292E"/>
    <w:rsid w:val="00B42CC0"/>
    <w:rsid w:val="00B442E3"/>
    <w:rsid w:val="00B535CE"/>
    <w:rsid w:val="00B73BAD"/>
    <w:rsid w:val="00B74981"/>
    <w:rsid w:val="00B74D50"/>
    <w:rsid w:val="00B74EDD"/>
    <w:rsid w:val="00B76F02"/>
    <w:rsid w:val="00B80E1D"/>
    <w:rsid w:val="00B867CB"/>
    <w:rsid w:val="00BA1879"/>
    <w:rsid w:val="00BA3C7E"/>
    <w:rsid w:val="00BA4248"/>
    <w:rsid w:val="00BA4EA9"/>
    <w:rsid w:val="00BC1874"/>
    <w:rsid w:val="00BD05A6"/>
    <w:rsid w:val="00BD1D40"/>
    <w:rsid w:val="00BD6650"/>
    <w:rsid w:val="00BE18CA"/>
    <w:rsid w:val="00BE2F2E"/>
    <w:rsid w:val="00BE5724"/>
    <w:rsid w:val="00BF16A1"/>
    <w:rsid w:val="00BF3497"/>
    <w:rsid w:val="00BF53BD"/>
    <w:rsid w:val="00C04670"/>
    <w:rsid w:val="00C11ACE"/>
    <w:rsid w:val="00C1792C"/>
    <w:rsid w:val="00C20A65"/>
    <w:rsid w:val="00C22FDC"/>
    <w:rsid w:val="00C254AF"/>
    <w:rsid w:val="00C3556E"/>
    <w:rsid w:val="00C36256"/>
    <w:rsid w:val="00C37F4A"/>
    <w:rsid w:val="00C44546"/>
    <w:rsid w:val="00C45C47"/>
    <w:rsid w:val="00C565A8"/>
    <w:rsid w:val="00C5785B"/>
    <w:rsid w:val="00C57E84"/>
    <w:rsid w:val="00C631F6"/>
    <w:rsid w:val="00C647D0"/>
    <w:rsid w:val="00C705E7"/>
    <w:rsid w:val="00C748DB"/>
    <w:rsid w:val="00C81B92"/>
    <w:rsid w:val="00C8584C"/>
    <w:rsid w:val="00C86A76"/>
    <w:rsid w:val="00C903F8"/>
    <w:rsid w:val="00C9786B"/>
    <w:rsid w:val="00CB1291"/>
    <w:rsid w:val="00CB2D6C"/>
    <w:rsid w:val="00CC3DBA"/>
    <w:rsid w:val="00CC427F"/>
    <w:rsid w:val="00CC54F0"/>
    <w:rsid w:val="00CC5CB4"/>
    <w:rsid w:val="00CD5A2A"/>
    <w:rsid w:val="00CD7BD7"/>
    <w:rsid w:val="00CE3AFE"/>
    <w:rsid w:val="00CF124D"/>
    <w:rsid w:val="00CF3221"/>
    <w:rsid w:val="00D0706C"/>
    <w:rsid w:val="00D071CE"/>
    <w:rsid w:val="00D071E4"/>
    <w:rsid w:val="00D10D1F"/>
    <w:rsid w:val="00D140D1"/>
    <w:rsid w:val="00D21D73"/>
    <w:rsid w:val="00D32F45"/>
    <w:rsid w:val="00D35359"/>
    <w:rsid w:val="00D42DBE"/>
    <w:rsid w:val="00D445CE"/>
    <w:rsid w:val="00D546DA"/>
    <w:rsid w:val="00D55106"/>
    <w:rsid w:val="00D720F9"/>
    <w:rsid w:val="00D736A3"/>
    <w:rsid w:val="00D7492C"/>
    <w:rsid w:val="00D76015"/>
    <w:rsid w:val="00D766D5"/>
    <w:rsid w:val="00D85797"/>
    <w:rsid w:val="00DA26F9"/>
    <w:rsid w:val="00DA74BD"/>
    <w:rsid w:val="00DB0223"/>
    <w:rsid w:val="00DB1247"/>
    <w:rsid w:val="00DB2DD2"/>
    <w:rsid w:val="00DB3EE5"/>
    <w:rsid w:val="00DB6886"/>
    <w:rsid w:val="00DC1BC9"/>
    <w:rsid w:val="00DD0EF3"/>
    <w:rsid w:val="00DD256F"/>
    <w:rsid w:val="00DD26CD"/>
    <w:rsid w:val="00DD44FA"/>
    <w:rsid w:val="00DE2F5E"/>
    <w:rsid w:val="00DE7E14"/>
    <w:rsid w:val="00DF509E"/>
    <w:rsid w:val="00DF5E95"/>
    <w:rsid w:val="00E00C5B"/>
    <w:rsid w:val="00E01A26"/>
    <w:rsid w:val="00E110A0"/>
    <w:rsid w:val="00E12934"/>
    <w:rsid w:val="00E2655A"/>
    <w:rsid w:val="00E26680"/>
    <w:rsid w:val="00E30632"/>
    <w:rsid w:val="00E31307"/>
    <w:rsid w:val="00E3174A"/>
    <w:rsid w:val="00E31987"/>
    <w:rsid w:val="00E337A9"/>
    <w:rsid w:val="00E3555D"/>
    <w:rsid w:val="00E506C1"/>
    <w:rsid w:val="00E51E7B"/>
    <w:rsid w:val="00E51EDC"/>
    <w:rsid w:val="00E656F9"/>
    <w:rsid w:val="00E6716C"/>
    <w:rsid w:val="00E712B1"/>
    <w:rsid w:val="00E72253"/>
    <w:rsid w:val="00E8489F"/>
    <w:rsid w:val="00E85285"/>
    <w:rsid w:val="00E90AEB"/>
    <w:rsid w:val="00EA2222"/>
    <w:rsid w:val="00EA60A0"/>
    <w:rsid w:val="00EB161B"/>
    <w:rsid w:val="00EB71DA"/>
    <w:rsid w:val="00ED7809"/>
    <w:rsid w:val="00ED7D3E"/>
    <w:rsid w:val="00EE2930"/>
    <w:rsid w:val="00EE443F"/>
    <w:rsid w:val="00EF23DB"/>
    <w:rsid w:val="00EF3C10"/>
    <w:rsid w:val="00EF7A39"/>
    <w:rsid w:val="00F039E2"/>
    <w:rsid w:val="00F062D6"/>
    <w:rsid w:val="00F065B2"/>
    <w:rsid w:val="00F079F8"/>
    <w:rsid w:val="00F12E10"/>
    <w:rsid w:val="00F13476"/>
    <w:rsid w:val="00F20BE3"/>
    <w:rsid w:val="00F24DFB"/>
    <w:rsid w:val="00F309BC"/>
    <w:rsid w:val="00F319A8"/>
    <w:rsid w:val="00F33688"/>
    <w:rsid w:val="00F3604E"/>
    <w:rsid w:val="00F526B2"/>
    <w:rsid w:val="00F54798"/>
    <w:rsid w:val="00F66377"/>
    <w:rsid w:val="00F6688E"/>
    <w:rsid w:val="00F66E8E"/>
    <w:rsid w:val="00F7479F"/>
    <w:rsid w:val="00F76668"/>
    <w:rsid w:val="00F80FF3"/>
    <w:rsid w:val="00F8139D"/>
    <w:rsid w:val="00F82834"/>
    <w:rsid w:val="00F82B09"/>
    <w:rsid w:val="00F9065C"/>
    <w:rsid w:val="00F91E18"/>
    <w:rsid w:val="00FB223A"/>
    <w:rsid w:val="00FC0FE2"/>
    <w:rsid w:val="00FC1351"/>
    <w:rsid w:val="00FC2702"/>
    <w:rsid w:val="00FE561C"/>
    <w:rsid w:val="00FF39AF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75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0E7"/>
  </w:style>
  <w:style w:type="paragraph" w:styleId="Footer">
    <w:name w:val="footer"/>
    <w:basedOn w:val="Normal"/>
    <w:link w:val="FooterChar"/>
    <w:uiPriority w:val="99"/>
    <w:unhideWhenUsed/>
    <w:rsid w:val="0039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0E7"/>
  </w:style>
  <w:style w:type="paragraph" w:styleId="BalloonText">
    <w:name w:val="Balloon Text"/>
    <w:basedOn w:val="Normal"/>
    <w:link w:val="BalloonTextChar"/>
    <w:uiPriority w:val="99"/>
    <w:semiHidden/>
    <w:unhideWhenUsed/>
    <w:rsid w:val="0039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6FF"/>
    <w:pPr>
      <w:ind w:left="720"/>
      <w:contextualSpacing/>
    </w:pPr>
  </w:style>
  <w:style w:type="paragraph" w:customStyle="1" w:styleId="Default">
    <w:name w:val="Default"/>
    <w:rsid w:val="00A80E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9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50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5754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75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0E7"/>
  </w:style>
  <w:style w:type="paragraph" w:styleId="Footer">
    <w:name w:val="footer"/>
    <w:basedOn w:val="Normal"/>
    <w:link w:val="FooterChar"/>
    <w:uiPriority w:val="99"/>
    <w:unhideWhenUsed/>
    <w:rsid w:val="0039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0E7"/>
  </w:style>
  <w:style w:type="paragraph" w:styleId="BalloonText">
    <w:name w:val="Balloon Text"/>
    <w:basedOn w:val="Normal"/>
    <w:link w:val="BalloonTextChar"/>
    <w:uiPriority w:val="99"/>
    <w:semiHidden/>
    <w:unhideWhenUsed/>
    <w:rsid w:val="0039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6FF"/>
    <w:pPr>
      <w:ind w:left="720"/>
      <w:contextualSpacing/>
    </w:pPr>
  </w:style>
  <w:style w:type="paragraph" w:customStyle="1" w:styleId="Default">
    <w:name w:val="Default"/>
    <w:rsid w:val="00A80E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9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50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5754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6964-6DCB-4EA6-8EED-A33AFA7A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6540</Words>
  <Characters>37280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Rumiana Kostova</dc:creator>
  <cp:lastModifiedBy>Silvia Marinova</cp:lastModifiedBy>
  <cp:revision>8</cp:revision>
  <cp:lastPrinted>2022-01-17T08:18:00Z</cp:lastPrinted>
  <dcterms:created xsi:type="dcterms:W3CDTF">2022-01-12T14:29:00Z</dcterms:created>
  <dcterms:modified xsi:type="dcterms:W3CDTF">2022-01-17T08:18:00Z</dcterms:modified>
</cp:coreProperties>
</file>